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5F94D" w14:textId="4C157E9D" w:rsidR="001F3518" w:rsidRDefault="006C51CE" w:rsidP="00E13390">
      <w:pPr>
        <w:jc w:val="center"/>
      </w:pPr>
      <w:r>
        <w:rPr>
          <w:rFonts w:ascii="Arial" w:eastAsia="Arial" w:hAnsi="Arial" w:cs="Arial"/>
          <w:noProof/>
          <w:color w:val="222222"/>
          <w:lang w:eastAsia="en-GB"/>
        </w:rPr>
        <w:drawing>
          <wp:inline distT="0" distB="0" distL="0" distR="0" wp14:anchorId="3C2285E6" wp14:editId="13778B48">
            <wp:extent cx="5324475" cy="909955"/>
            <wp:effectExtent l="0" t="0" r="0" b="4445"/>
            <wp:docPr id="11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8"/>
                    <a:srcRect r="24865"/>
                    <a:stretch/>
                  </pic:blipFill>
                  <pic:spPr bwMode="auto">
                    <a:xfrm>
                      <a:off x="0" y="0"/>
                      <a:ext cx="5328009" cy="910559"/>
                    </a:xfrm>
                    <a:prstGeom prst="rect">
                      <a:avLst/>
                    </a:prstGeom>
                    <a:ln>
                      <a:noFill/>
                    </a:ln>
                    <a:extLst>
                      <a:ext uri="{53640926-AAD7-44D8-BBD7-CCE9431645EC}">
                        <a14:shadowObscured xmlns:a14="http://schemas.microsoft.com/office/drawing/2010/main"/>
                      </a:ext>
                    </a:extLst>
                  </pic:spPr>
                </pic:pic>
              </a:graphicData>
            </a:graphic>
          </wp:inline>
        </w:drawing>
      </w:r>
    </w:p>
    <w:p w14:paraId="7049BD4F" w14:textId="21F38207" w:rsidR="00E13390" w:rsidRPr="00E261EA" w:rsidRDefault="00E13390" w:rsidP="008168E6">
      <w:pPr>
        <w:spacing w:after="0" w:line="240" w:lineRule="auto"/>
        <w:jc w:val="center"/>
        <w:rPr>
          <w:rFonts w:ascii="Arial" w:hAnsi="Arial" w:cs="Arial"/>
          <w:b/>
          <w:sz w:val="24"/>
          <w:szCs w:val="24"/>
          <w:u w:val="single"/>
        </w:rPr>
      </w:pPr>
      <w:r w:rsidRPr="00E261EA">
        <w:rPr>
          <w:rFonts w:ascii="Arial" w:hAnsi="Arial" w:cs="Arial"/>
          <w:b/>
          <w:sz w:val="24"/>
          <w:szCs w:val="24"/>
          <w:u w:val="single"/>
        </w:rPr>
        <w:t>GENDER PAY GAP REPORTING</w:t>
      </w:r>
      <w:r w:rsidR="009E5A5B">
        <w:rPr>
          <w:rFonts w:ascii="Arial" w:hAnsi="Arial" w:cs="Arial"/>
          <w:b/>
          <w:sz w:val="24"/>
          <w:szCs w:val="24"/>
          <w:u w:val="single"/>
        </w:rPr>
        <w:t xml:space="preserve"> – FOR APRIL 20</w:t>
      </w:r>
      <w:r w:rsidR="00DF1C20">
        <w:rPr>
          <w:rFonts w:ascii="Arial" w:hAnsi="Arial" w:cs="Arial"/>
          <w:b/>
          <w:sz w:val="24"/>
          <w:szCs w:val="24"/>
          <w:u w:val="single"/>
        </w:rPr>
        <w:t>2</w:t>
      </w:r>
      <w:r w:rsidR="0087454D">
        <w:rPr>
          <w:rFonts w:ascii="Arial" w:hAnsi="Arial" w:cs="Arial"/>
          <w:b/>
          <w:sz w:val="24"/>
          <w:szCs w:val="24"/>
          <w:u w:val="single"/>
        </w:rPr>
        <w:t>5</w:t>
      </w:r>
    </w:p>
    <w:p w14:paraId="57F084B2" w14:textId="77777777" w:rsidR="00D16508" w:rsidRPr="00E261EA" w:rsidRDefault="00D16508" w:rsidP="008168E6">
      <w:pPr>
        <w:spacing w:after="0" w:line="240" w:lineRule="auto"/>
        <w:jc w:val="center"/>
        <w:rPr>
          <w:rFonts w:ascii="Arial" w:hAnsi="Arial" w:cs="Arial"/>
          <w:b/>
          <w:u w:val="single"/>
        </w:rPr>
      </w:pPr>
    </w:p>
    <w:p w14:paraId="7985E0FE" w14:textId="77777777" w:rsidR="00582F64" w:rsidRDefault="00582F64" w:rsidP="009E5A5B">
      <w:pPr>
        <w:spacing w:after="0" w:line="240" w:lineRule="auto"/>
        <w:jc w:val="both"/>
        <w:rPr>
          <w:rFonts w:ascii="Arial" w:hAnsi="Arial" w:cs="Arial"/>
        </w:rPr>
      </w:pPr>
    </w:p>
    <w:p w14:paraId="0B626D5C" w14:textId="0E974380" w:rsidR="00582F64" w:rsidRDefault="00582F64" w:rsidP="00582F64">
      <w:pPr>
        <w:spacing w:after="0" w:line="240" w:lineRule="auto"/>
        <w:jc w:val="both"/>
        <w:rPr>
          <w:rFonts w:ascii="Arial" w:hAnsi="Arial" w:cs="Arial"/>
        </w:rPr>
      </w:pPr>
      <w:r w:rsidRPr="00582F64">
        <w:rPr>
          <w:rFonts w:ascii="Arial" w:hAnsi="Arial" w:cs="Arial"/>
        </w:rPr>
        <w:t xml:space="preserve">Wakefield Grammar School Foundation (WGSF) is committed to fostering an inclusive environment that ensures fair and equitable remuneration for all staff. This report satisfies the statutory requirements of the </w:t>
      </w:r>
      <w:r w:rsidRPr="00582F64">
        <w:rPr>
          <w:rFonts w:ascii="Arial" w:hAnsi="Arial" w:cs="Arial"/>
          <w:b/>
          <w:bCs/>
        </w:rPr>
        <w:t>Equality Act 2010 (Gender Pay Gap Information) Regulations 2017</w:t>
      </w:r>
      <w:r w:rsidRPr="00582F64">
        <w:rPr>
          <w:rFonts w:ascii="Arial" w:hAnsi="Arial" w:cs="Arial"/>
        </w:rPr>
        <w:t>, which require employers with 250 or more employees to publish specific annual figures regarding their gender pay gap.</w:t>
      </w:r>
    </w:p>
    <w:p w14:paraId="5C053BE6" w14:textId="77777777" w:rsidR="00FC0926" w:rsidRPr="00582F64" w:rsidRDefault="00FC0926" w:rsidP="00582F64">
      <w:pPr>
        <w:spacing w:after="0" w:line="240" w:lineRule="auto"/>
        <w:jc w:val="both"/>
        <w:rPr>
          <w:rFonts w:ascii="Arial" w:hAnsi="Arial" w:cs="Arial"/>
        </w:rPr>
      </w:pPr>
    </w:p>
    <w:p w14:paraId="5A0A166C" w14:textId="77777777" w:rsidR="00582F64" w:rsidRPr="00582F64" w:rsidRDefault="00582F64" w:rsidP="00582F64">
      <w:pPr>
        <w:spacing w:after="0" w:line="240" w:lineRule="auto"/>
        <w:jc w:val="both"/>
        <w:rPr>
          <w:rFonts w:ascii="Arial" w:hAnsi="Arial" w:cs="Arial"/>
        </w:rPr>
      </w:pPr>
      <w:r w:rsidRPr="00582F64">
        <w:rPr>
          <w:rFonts w:ascii="Arial" w:hAnsi="Arial" w:cs="Arial"/>
          <w:b/>
          <w:bCs/>
        </w:rPr>
        <w:t>Note on Equal Pay:</w:t>
      </w:r>
      <w:r w:rsidRPr="00582F64">
        <w:rPr>
          <w:rFonts w:ascii="Arial" w:hAnsi="Arial" w:cs="Arial"/>
        </w:rPr>
        <w:t xml:space="preserve"> The gender pay gap is a measure of the difference between the average hourly earnings of men and women across the entire Foundation. It is distinct from "Equal Pay," which is the legal requirement that men and women be paid the same for the same or similar work. WGSF remains confident that its pay structures (including national teaching scales and support staff job evaluations) ensure equal pay for equal work.</w:t>
      </w:r>
    </w:p>
    <w:p w14:paraId="74AE4BBB" w14:textId="77777777" w:rsidR="00582F64" w:rsidRPr="00D16508" w:rsidRDefault="00582F64" w:rsidP="009E5A5B">
      <w:pPr>
        <w:spacing w:after="0" w:line="240" w:lineRule="auto"/>
        <w:jc w:val="both"/>
        <w:rPr>
          <w:rFonts w:ascii="Arial" w:hAnsi="Arial" w:cs="Arial"/>
        </w:rPr>
      </w:pPr>
    </w:p>
    <w:p w14:paraId="37D0C40B" w14:textId="77777777" w:rsidR="00582F64" w:rsidRPr="00582F64" w:rsidRDefault="00582F64" w:rsidP="00582F64">
      <w:pPr>
        <w:spacing w:after="0" w:line="240" w:lineRule="auto"/>
        <w:rPr>
          <w:rFonts w:ascii="Arial" w:hAnsi="Arial" w:cs="Arial"/>
          <w:b/>
          <w:bCs/>
        </w:rPr>
      </w:pPr>
      <w:r w:rsidRPr="00582F64">
        <w:rPr>
          <w:rFonts w:ascii="Arial" w:hAnsi="Arial" w:cs="Arial"/>
          <w:b/>
          <w:bCs/>
        </w:rPr>
        <w:t>Headline Data and Three-Year Trend</w:t>
      </w:r>
    </w:p>
    <w:p w14:paraId="5EFDBC27" w14:textId="77777777" w:rsidR="00582F64" w:rsidRDefault="00582F64" w:rsidP="00582F64">
      <w:pPr>
        <w:spacing w:after="0" w:line="240" w:lineRule="auto"/>
        <w:rPr>
          <w:rFonts w:ascii="Arial" w:hAnsi="Arial" w:cs="Arial"/>
        </w:rPr>
      </w:pPr>
      <w:r w:rsidRPr="00582F64">
        <w:rPr>
          <w:rFonts w:ascii="Arial" w:hAnsi="Arial" w:cs="Arial"/>
        </w:rPr>
        <w:t>The following figures represent the Foundation’s progress over the last three reporting cycles.</w:t>
      </w:r>
    </w:p>
    <w:p w14:paraId="61D82791" w14:textId="77777777" w:rsidR="00582F64" w:rsidRPr="00582F64" w:rsidRDefault="00582F64" w:rsidP="00582F64">
      <w:pPr>
        <w:spacing w:after="0" w:line="240" w:lineRule="auto"/>
        <w:rPr>
          <w:rFonts w:ascii="Arial" w:hAnsi="Arial" w:cs="Arial"/>
        </w:rPr>
      </w:pPr>
    </w:p>
    <w:p w14:paraId="49D5408D" w14:textId="77777777" w:rsidR="00582F64" w:rsidRDefault="00E13390" w:rsidP="009E5A5B">
      <w:pPr>
        <w:spacing w:after="0" w:line="240" w:lineRule="auto"/>
        <w:rPr>
          <w:rFonts w:ascii="Arial" w:hAnsi="Arial" w:cs="Arial"/>
        </w:rPr>
      </w:pPr>
      <w:r w:rsidRPr="00D16508">
        <w:rPr>
          <w:rFonts w:ascii="Arial" w:hAnsi="Arial" w:cs="Arial"/>
        </w:rPr>
        <w:t xml:space="preserve">The following gender pay gap calculations are based on pay </w:t>
      </w:r>
      <w:r w:rsidR="00992048">
        <w:rPr>
          <w:rFonts w:ascii="Arial" w:hAnsi="Arial" w:cs="Arial"/>
        </w:rPr>
        <w:t>which</w:t>
      </w:r>
      <w:r w:rsidRPr="00D16508">
        <w:rPr>
          <w:rFonts w:ascii="Arial" w:hAnsi="Arial" w:cs="Arial"/>
        </w:rPr>
        <w:t xml:space="preserve"> employees received in </w:t>
      </w:r>
      <w:r w:rsidRPr="009E5B91">
        <w:rPr>
          <w:rFonts w:ascii="Arial" w:hAnsi="Arial" w:cs="Arial"/>
          <w:b/>
        </w:rPr>
        <w:t>April 20</w:t>
      </w:r>
      <w:r w:rsidR="00DF1C20">
        <w:rPr>
          <w:rFonts w:ascii="Arial" w:hAnsi="Arial" w:cs="Arial"/>
          <w:b/>
        </w:rPr>
        <w:t>2</w:t>
      </w:r>
      <w:r w:rsidR="0087454D">
        <w:rPr>
          <w:rFonts w:ascii="Arial" w:hAnsi="Arial" w:cs="Arial"/>
          <w:b/>
        </w:rPr>
        <w:t>5</w:t>
      </w:r>
      <w:r w:rsidRPr="00D16508">
        <w:rPr>
          <w:rFonts w:ascii="Arial" w:hAnsi="Arial" w:cs="Arial"/>
        </w:rPr>
        <w:t>.</w:t>
      </w:r>
    </w:p>
    <w:p w14:paraId="7EC4AC44" w14:textId="77777777" w:rsidR="00582F64" w:rsidRDefault="00582F64" w:rsidP="009E5A5B">
      <w:pPr>
        <w:spacing w:after="0" w:line="240" w:lineRule="auto"/>
        <w:rPr>
          <w:rFonts w:ascii="Arial" w:hAnsi="Arial" w:cs="Arial"/>
        </w:rPr>
      </w:pPr>
    </w:p>
    <w:tbl>
      <w:tblPr>
        <w:tblW w:w="7850" w:type="dxa"/>
        <w:tblInd w:w="1113" w:type="dxa"/>
        <w:tblCellMar>
          <w:left w:w="0" w:type="dxa"/>
          <w:right w:w="0" w:type="dxa"/>
        </w:tblCellMar>
        <w:tblLook w:val="04A0" w:firstRow="1" w:lastRow="0" w:firstColumn="1" w:lastColumn="0" w:noHBand="0" w:noVBand="1"/>
      </w:tblPr>
      <w:tblGrid>
        <w:gridCol w:w="2524"/>
        <w:gridCol w:w="1081"/>
        <w:gridCol w:w="1081"/>
        <w:gridCol w:w="1081"/>
        <w:gridCol w:w="2083"/>
      </w:tblGrid>
      <w:tr w:rsidR="00582F64" w:rsidRPr="00582F64" w14:paraId="7730A0A4" w14:textId="77777777" w:rsidTr="002379C1">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ACEB92" w14:textId="77777777" w:rsidR="00582F64" w:rsidRPr="00582F64" w:rsidRDefault="00582F64" w:rsidP="002379C1">
            <w:pPr>
              <w:spacing w:after="0" w:line="240" w:lineRule="auto"/>
              <w:jc w:val="center"/>
              <w:rPr>
                <w:rFonts w:ascii="Arial" w:hAnsi="Arial" w:cs="Arial"/>
              </w:rPr>
            </w:pP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D61203" w14:textId="77777777" w:rsidR="00582F64" w:rsidRPr="00582F64" w:rsidRDefault="00582F64" w:rsidP="002379C1">
            <w:pPr>
              <w:spacing w:after="0" w:line="240" w:lineRule="auto"/>
              <w:jc w:val="center"/>
              <w:rPr>
                <w:rFonts w:ascii="Arial" w:hAnsi="Arial" w:cs="Arial"/>
              </w:rPr>
            </w:pPr>
            <w:r w:rsidRPr="00582F64">
              <w:rPr>
                <w:rFonts w:ascii="Arial" w:hAnsi="Arial" w:cs="Arial"/>
              </w:rPr>
              <w:t>April 2025</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7DCBFC" w14:textId="77777777" w:rsidR="00582F64" w:rsidRPr="00582F64" w:rsidRDefault="00582F64" w:rsidP="002379C1">
            <w:pPr>
              <w:spacing w:after="0" w:line="240" w:lineRule="auto"/>
              <w:jc w:val="center"/>
              <w:rPr>
                <w:rFonts w:ascii="Arial" w:hAnsi="Arial" w:cs="Arial"/>
              </w:rPr>
            </w:pPr>
            <w:r w:rsidRPr="00582F64">
              <w:rPr>
                <w:rFonts w:ascii="Arial" w:hAnsi="Arial" w:cs="Arial"/>
              </w:rPr>
              <w:t>April 2024</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078D04" w14:textId="77777777" w:rsidR="00582F64" w:rsidRPr="00582F64" w:rsidRDefault="00582F64" w:rsidP="002379C1">
            <w:pPr>
              <w:spacing w:after="0" w:line="240" w:lineRule="auto"/>
              <w:jc w:val="center"/>
              <w:rPr>
                <w:rFonts w:ascii="Arial" w:hAnsi="Arial" w:cs="Arial"/>
              </w:rPr>
            </w:pPr>
            <w:r w:rsidRPr="00582F64">
              <w:rPr>
                <w:rFonts w:ascii="Arial" w:hAnsi="Arial" w:cs="Arial"/>
              </w:rPr>
              <w:t>April 2023</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B99FB5" w14:textId="77777777" w:rsidR="00582F64" w:rsidRPr="00582F64" w:rsidRDefault="00582F64" w:rsidP="002379C1">
            <w:pPr>
              <w:spacing w:after="0" w:line="240" w:lineRule="auto"/>
              <w:jc w:val="center"/>
              <w:rPr>
                <w:rFonts w:ascii="Arial" w:hAnsi="Arial" w:cs="Arial"/>
              </w:rPr>
            </w:pPr>
            <w:r w:rsidRPr="00582F64">
              <w:rPr>
                <w:rFonts w:ascii="Arial" w:hAnsi="Arial" w:cs="Arial"/>
              </w:rPr>
              <w:t>Trend</w:t>
            </w:r>
          </w:p>
        </w:tc>
      </w:tr>
      <w:tr w:rsidR="00582F64" w:rsidRPr="00582F64" w14:paraId="352DDC63" w14:textId="77777777" w:rsidTr="002379C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8FB522" w14:textId="77777777" w:rsidR="00582F64" w:rsidRPr="00582F64" w:rsidRDefault="00582F64" w:rsidP="002379C1">
            <w:pPr>
              <w:spacing w:after="0" w:line="240" w:lineRule="auto"/>
              <w:jc w:val="center"/>
              <w:rPr>
                <w:rFonts w:ascii="Arial" w:hAnsi="Arial" w:cs="Arial"/>
              </w:rPr>
            </w:pPr>
            <w:r w:rsidRPr="00582F64">
              <w:rPr>
                <w:rFonts w:ascii="Arial" w:hAnsi="Arial" w:cs="Arial"/>
              </w:rPr>
              <w:t>Mean Gender Pay Gap</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248F13" w14:textId="08CE2311" w:rsidR="00582F64" w:rsidRPr="00582F64" w:rsidRDefault="00582F64" w:rsidP="002379C1">
            <w:pPr>
              <w:spacing w:after="0" w:line="240" w:lineRule="auto"/>
              <w:jc w:val="center"/>
              <w:rPr>
                <w:rFonts w:ascii="Arial" w:hAnsi="Arial" w:cs="Arial"/>
              </w:rPr>
            </w:pPr>
            <w:r w:rsidRPr="00582F64">
              <w:rPr>
                <w:rFonts w:ascii="Arial" w:hAnsi="Arial" w:cs="Arial"/>
              </w:rPr>
              <w:t>1</w:t>
            </w:r>
            <w:r w:rsidR="00015E0F">
              <w:rPr>
                <w:rFonts w:ascii="Arial" w:hAnsi="Arial" w:cs="Arial"/>
              </w:rPr>
              <w:t>4.55</w:t>
            </w:r>
            <w:r w:rsidRPr="00582F64">
              <w:rPr>
                <w:rFonts w:ascii="Arial" w:hAnsi="Arial" w:cs="Arial"/>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91AED0" w14:textId="77777777" w:rsidR="00582F64" w:rsidRPr="00582F64" w:rsidRDefault="00582F64" w:rsidP="002379C1">
            <w:pPr>
              <w:spacing w:after="0" w:line="240" w:lineRule="auto"/>
              <w:jc w:val="center"/>
              <w:rPr>
                <w:rFonts w:ascii="Arial" w:hAnsi="Arial" w:cs="Arial"/>
              </w:rPr>
            </w:pPr>
            <w:r w:rsidRPr="00582F64">
              <w:rPr>
                <w:rFonts w:ascii="Arial" w:hAnsi="Arial" w:cs="Arial"/>
              </w:rPr>
              <w:t>17.32%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EC0C0B" w14:textId="77777777" w:rsidR="00582F64" w:rsidRPr="00582F64" w:rsidRDefault="00582F64" w:rsidP="002379C1">
            <w:pPr>
              <w:spacing w:after="0" w:line="240" w:lineRule="auto"/>
              <w:jc w:val="center"/>
              <w:rPr>
                <w:rFonts w:ascii="Arial" w:hAnsi="Arial" w:cs="Arial"/>
              </w:rPr>
            </w:pPr>
            <w:r w:rsidRPr="00582F64">
              <w:rPr>
                <w:rFonts w:ascii="Arial" w:hAnsi="Arial" w:cs="Arial"/>
              </w:rPr>
              <w:t>17.45%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9701D3" w14:textId="1DAF02A4" w:rsidR="00582F64" w:rsidRPr="00582F64" w:rsidRDefault="00582F64" w:rsidP="002379C1">
            <w:pPr>
              <w:spacing w:after="0" w:line="240" w:lineRule="auto"/>
              <w:jc w:val="center"/>
              <w:rPr>
                <w:rFonts w:ascii="Arial" w:hAnsi="Arial" w:cs="Arial"/>
              </w:rPr>
            </w:pPr>
            <w:r w:rsidRPr="00582F64">
              <w:rPr>
                <w:rFonts w:ascii="Arial" w:hAnsi="Arial" w:cs="Arial"/>
              </w:rPr>
              <w:t>-</w:t>
            </w:r>
            <w:r w:rsidR="00015E0F">
              <w:rPr>
                <w:rFonts w:ascii="Arial" w:hAnsi="Arial" w:cs="Arial"/>
              </w:rPr>
              <w:t>2.77</w:t>
            </w:r>
            <w:r w:rsidRPr="00582F64">
              <w:rPr>
                <w:rFonts w:ascii="Arial" w:hAnsi="Arial" w:cs="Arial"/>
              </w:rPr>
              <w:t>% (Improving)</w:t>
            </w:r>
          </w:p>
        </w:tc>
      </w:tr>
      <w:tr w:rsidR="00582F64" w:rsidRPr="00582F64" w14:paraId="28AE4FC3" w14:textId="77777777" w:rsidTr="002379C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B6C888C" w14:textId="77777777" w:rsidR="00582F64" w:rsidRPr="00582F64" w:rsidRDefault="00582F64" w:rsidP="002379C1">
            <w:pPr>
              <w:spacing w:after="0" w:line="240" w:lineRule="auto"/>
              <w:jc w:val="center"/>
              <w:rPr>
                <w:rFonts w:ascii="Arial" w:hAnsi="Arial" w:cs="Arial"/>
              </w:rPr>
            </w:pPr>
            <w:r w:rsidRPr="00582F64">
              <w:rPr>
                <w:rFonts w:ascii="Arial" w:hAnsi="Arial" w:cs="Arial"/>
              </w:rPr>
              <w:t>Median Gender Pay Gap</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BF40BE" w14:textId="01B7773A" w:rsidR="00582F64" w:rsidRPr="00582F64" w:rsidRDefault="00582F64" w:rsidP="002379C1">
            <w:pPr>
              <w:spacing w:after="0" w:line="240" w:lineRule="auto"/>
              <w:jc w:val="center"/>
              <w:rPr>
                <w:rFonts w:ascii="Arial" w:hAnsi="Arial" w:cs="Arial"/>
              </w:rPr>
            </w:pPr>
            <w:r w:rsidRPr="00582F64">
              <w:rPr>
                <w:rFonts w:ascii="Arial" w:hAnsi="Arial" w:cs="Arial"/>
              </w:rPr>
              <w:t>1</w:t>
            </w:r>
            <w:r w:rsidR="00015E0F">
              <w:rPr>
                <w:rFonts w:ascii="Arial" w:hAnsi="Arial" w:cs="Arial"/>
              </w:rPr>
              <w:t>1</w:t>
            </w:r>
            <w:r w:rsidRPr="00582F64">
              <w:rPr>
                <w:rFonts w:ascii="Arial" w:hAnsi="Arial" w:cs="Arial"/>
              </w:rPr>
              <w:t>.</w:t>
            </w:r>
            <w:r w:rsidR="00015E0F">
              <w:rPr>
                <w:rFonts w:ascii="Arial" w:hAnsi="Arial" w:cs="Arial"/>
              </w:rPr>
              <w:t>1</w:t>
            </w:r>
            <w:r w:rsidRPr="00582F64">
              <w:rPr>
                <w:rFonts w:ascii="Arial" w:hAnsi="Arial" w:cs="Arial"/>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23A9B7" w14:textId="77777777" w:rsidR="00582F64" w:rsidRPr="00582F64" w:rsidRDefault="00582F64" w:rsidP="002379C1">
            <w:pPr>
              <w:spacing w:after="0" w:line="240" w:lineRule="auto"/>
              <w:jc w:val="center"/>
              <w:rPr>
                <w:rFonts w:ascii="Arial" w:hAnsi="Arial" w:cs="Arial"/>
              </w:rPr>
            </w:pPr>
            <w:r w:rsidRPr="00582F64">
              <w:rPr>
                <w:rFonts w:ascii="Arial" w:hAnsi="Arial" w:cs="Arial"/>
              </w:rPr>
              <w:t>24.65%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32B284" w14:textId="77777777" w:rsidR="00582F64" w:rsidRPr="00582F64" w:rsidRDefault="00582F64" w:rsidP="002379C1">
            <w:pPr>
              <w:spacing w:after="0" w:line="240" w:lineRule="auto"/>
              <w:jc w:val="center"/>
              <w:rPr>
                <w:rFonts w:ascii="Arial" w:hAnsi="Arial" w:cs="Arial"/>
              </w:rPr>
            </w:pPr>
            <w:r w:rsidRPr="00582F64">
              <w:rPr>
                <w:rFonts w:ascii="Arial" w:hAnsi="Arial" w:cs="Arial"/>
              </w:rPr>
              <w:t>28.57%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F72E0B" w14:textId="36B49EE2" w:rsidR="00582F64" w:rsidRPr="00582F64" w:rsidRDefault="00582F64" w:rsidP="002379C1">
            <w:pPr>
              <w:spacing w:after="0" w:line="240" w:lineRule="auto"/>
              <w:jc w:val="center"/>
              <w:rPr>
                <w:rFonts w:ascii="Arial" w:hAnsi="Arial" w:cs="Arial"/>
              </w:rPr>
            </w:pPr>
            <w:r w:rsidRPr="00582F64">
              <w:rPr>
                <w:rFonts w:ascii="Arial" w:hAnsi="Arial" w:cs="Arial"/>
              </w:rPr>
              <w:t>-1</w:t>
            </w:r>
            <w:r w:rsidR="00015E0F">
              <w:rPr>
                <w:rFonts w:ascii="Arial" w:hAnsi="Arial" w:cs="Arial"/>
              </w:rPr>
              <w:t>3.49</w:t>
            </w:r>
            <w:r w:rsidRPr="00582F64">
              <w:rPr>
                <w:rFonts w:ascii="Arial" w:hAnsi="Arial" w:cs="Arial"/>
              </w:rPr>
              <w:t>% (Improving)</w:t>
            </w:r>
          </w:p>
        </w:tc>
      </w:tr>
      <w:tr w:rsidR="00582F64" w:rsidRPr="00582F64" w14:paraId="0ACDDF97" w14:textId="77777777" w:rsidTr="002379C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36B7AB" w14:textId="77777777" w:rsidR="00582F64" w:rsidRPr="00582F64" w:rsidRDefault="00582F64" w:rsidP="002379C1">
            <w:pPr>
              <w:spacing w:after="0" w:line="240" w:lineRule="auto"/>
              <w:jc w:val="center"/>
              <w:rPr>
                <w:rFonts w:ascii="Arial" w:hAnsi="Arial" w:cs="Arial"/>
              </w:rPr>
            </w:pPr>
            <w:r w:rsidRPr="00582F64">
              <w:rPr>
                <w:rFonts w:ascii="Arial" w:hAnsi="Arial" w:cs="Arial"/>
              </w:rPr>
              <w:t>Mean Bonus Gap</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30EE11" w14:textId="77777777" w:rsidR="00582F64" w:rsidRPr="00582F64" w:rsidRDefault="00582F64" w:rsidP="002379C1">
            <w:pPr>
              <w:spacing w:after="0" w:line="240" w:lineRule="auto"/>
              <w:jc w:val="center"/>
              <w:rPr>
                <w:rFonts w:ascii="Arial" w:hAnsi="Arial" w:cs="Arial"/>
              </w:rPr>
            </w:pPr>
            <w:r w:rsidRPr="00582F64">
              <w:rPr>
                <w:rFonts w:ascii="Arial" w:hAnsi="Arial" w:cs="Arial"/>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29DEF1" w14:textId="77777777" w:rsidR="00582F64" w:rsidRPr="00582F64" w:rsidRDefault="00582F64" w:rsidP="002379C1">
            <w:pPr>
              <w:spacing w:after="0" w:line="240" w:lineRule="auto"/>
              <w:jc w:val="center"/>
              <w:rPr>
                <w:rFonts w:ascii="Arial" w:hAnsi="Arial" w:cs="Arial"/>
              </w:rPr>
            </w:pPr>
            <w:r w:rsidRPr="00582F64">
              <w:rPr>
                <w:rFonts w:ascii="Arial" w:hAnsi="Arial" w:cs="Arial"/>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5A7215" w14:textId="77777777" w:rsidR="00582F64" w:rsidRPr="00582F64" w:rsidRDefault="00582F64" w:rsidP="002379C1">
            <w:pPr>
              <w:spacing w:after="0" w:line="240" w:lineRule="auto"/>
              <w:jc w:val="center"/>
              <w:rPr>
                <w:rFonts w:ascii="Arial" w:hAnsi="Arial" w:cs="Arial"/>
              </w:rPr>
            </w:pPr>
            <w:r w:rsidRPr="00582F64">
              <w:rPr>
                <w:rFonts w:ascii="Arial" w:hAnsi="Arial" w:cs="Arial"/>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DD761C0" w14:textId="69582BC6" w:rsidR="00582F64" w:rsidRPr="00582F64" w:rsidRDefault="00582F64" w:rsidP="002379C1">
            <w:pPr>
              <w:spacing w:after="0" w:line="240" w:lineRule="auto"/>
              <w:jc w:val="center"/>
              <w:rPr>
                <w:rFonts w:ascii="Arial" w:hAnsi="Arial" w:cs="Arial"/>
              </w:rPr>
            </w:pPr>
          </w:p>
        </w:tc>
      </w:tr>
      <w:tr w:rsidR="00582F64" w:rsidRPr="00582F64" w14:paraId="26D9492C" w14:textId="77777777" w:rsidTr="002379C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707595B" w14:textId="77777777" w:rsidR="00582F64" w:rsidRPr="00582F64" w:rsidRDefault="00582F64" w:rsidP="002379C1">
            <w:pPr>
              <w:spacing w:after="0" w:line="240" w:lineRule="auto"/>
              <w:jc w:val="center"/>
              <w:rPr>
                <w:rFonts w:ascii="Arial" w:hAnsi="Arial" w:cs="Arial"/>
              </w:rPr>
            </w:pPr>
            <w:r w:rsidRPr="00582F64">
              <w:rPr>
                <w:rFonts w:ascii="Arial" w:hAnsi="Arial" w:cs="Arial"/>
              </w:rPr>
              <w:t>Median Bonus Gap</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FBC610" w14:textId="77777777" w:rsidR="00582F64" w:rsidRPr="00582F64" w:rsidRDefault="00582F64" w:rsidP="002379C1">
            <w:pPr>
              <w:spacing w:after="0" w:line="240" w:lineRule="auto"/>
              <w:jc w:val="center"/>
              <w:rPr>
                <w:rFonts w:ascii="Arial" w:hAnsi="Arial" w:cs="Arial"/>
              </w:rPr>
            </w:pPr>
            <w:r w:rsidRPr="00582F64">
              <w:rPr>
                <w:rFonts w:ascii="Arial" w:hAnsi="Arial" w:cs="Arial"/>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EA0AA9" w14:textId="77777777" w:rsidR="00582F64" w:rsidRPr="00582F64" w:rsidRDefault="00582F64" w:rsidP="002379C1">
            <w:pPr>
              <w:spacing w:after="0" w:line="240" w:lineRule="auto"/>
              <w:jc w:val="center"/>
              <w:rPr>
                <w:rFonts w:ascii="Arial" w:hAnsi="Arial" w:cs="Arial"/>
              </w:rPr>
            </w:pPr>
            <w:r w:rsidRPr="00582F64">
              <w:rPr>
                <w:rFonts w:ascii="Arial" w:hAnsi="Arial" w:cs="Arial"/>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A7CDBC" w14:textId="77777777" w:rsidR="00582F64" w:rsidRPr="00582F64" w:rsidRDefault="00582F64" w:rsidP="002379C1">
            <w:pPr>
              <w:spacing w:after="0" w:line="240" w:lineRule="auto"/>
              <w:jc w:val="center"/>
              <w:rPr>
                <w:rFonts w:ascii="Arial" w:hAnsi="Arial" w:cs="Arial"/>
              </w:rPr>
            </w:pPr>
            <w:r w:rsidRPr="00582F64">
              <w:rPr>
                <w:rFonts w:ascii="Arial" w:hAnsi="Arial" w:cs="Arial"/>
              </w:rPr>
              <w:t>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18C850F" w14:textId="6AC244DF" w:rsidR="00582F64" w:rsidRPr="00582F64" w:rsidRDefault="00582F64" w:rsidP="002379C1">
            <w:pPr>
              <w:spacing w:after="0" w:line="240" w:lineRule="auto"/>
              <w:jc w:val="center"/>
              <w:rPr>
                <w:rFonts w:ascii="Arial" w:hAnsi="Arial" w:cs="Arial"/>
              </w:rPr>
            </w:pPr>
          </w:p>
        </w:tc>
      </w:tr>
    </w:tbl>
    <w:p w14:paraId="1B267331" w14:textId="4367C385" w:rsidR="00E13390" w:rsidRPr="00D16508" w:rsidRDefault="00E13390" w:rsidP="009E5A5B">
      <w:pPr>
        <w:spacing w:after="0" w:line="240" w:lineRule="auto"/>
        <w:rPr>
          <w:rFonts w:ascii="Arial" w:hAnsi="Arial" w:cs="Arial"/>
        </w:rPr>
      </w:pPr>
      <w:r w:rsidRPr="00D16508">
        <w:rPr>
          <w:rFonts w:ascii="Arial" w:hAnsi="Arial" w:cs="Arial"/>
        </w:rPr>
        <w:t xml:space="preserve"> </w:t>
      </w:r>
    </w:p>
    <w:p w14:paraId="2D1DCC6F" w14:textId="77777777" w:rsidR="008168E6" w:rsidRPr="00D16508" w:rsidRDefault="008168E6" w:rsidP="009E5A5B">
      <w:pPr>
        <w:spacing w:after="0" w:line="240" w:lineRule="auto"/>
        <w:rPr>
          <w:rFonts w:ascii="Arial" w:hAnsi="Arial" w:cs="Arial"/>
        </w:rPr>
      </w:pPr>
    </w:p>
    <w:p w14:paraId="6EECCDCC" w14:textId="77777777" w:rsidR="008168E6" w:rsidRPr="00D16508" w:rsidRDefault="008168E6" w:rsidP="009E5A5B">
      <w:pPr>
        <w:pStyle w:val="ListParagraph"/>
        <w:spacing w:after="0" w:line="240" w:lineRule="auto"/>
        <w:rPr>
          <w:rFonts w:ascii="Arial" w:hAnsi="Arial" w:cs="Arial"/>
        </w:rPr>
      </w:pPr>
    </w:p>
    <w:p w14:paraId="0DA00120" w14:textId="77777777" w:rsidR="00A847FE" w:rsidRPr="00D16508" w:rsidRDefault="00A847FE" w:rsidP="005401CB">
      <w:pPr>
        <w:spacing w:after="0" w:line="240" w:lineRule="auto"/>
        <w:jc w:val="both"/>
        <w:rPr>
          <w:rFonts w:ascii="Arial" w:hAnsi="Arial" w:cs="Arial"/>
          <w:i/>
        </w:rPr>
      </w:pPr>
      <w:r w:rsidRPr="00D16508">
        <w:rPr>
          <w:rFonts w:ascii="Arial" w:hAnsi="Arial" w:cs="Arial"/>
          <w:i/>
        </w:rPr>
        <w:t>The regulations require the mean and median to be calculated based upon an individual’s hourly rate of pay.</w:t>
      </w:r>
    </w:p>
    <w:p w14:paraId="4E57DF66" w14:textId="77777777" w:rsidR="00A847FE" w:rsidRPr="00D16508" w:rsidRDefault="00A847FE" w:rsidP="005401CB">
      <w:pPr>
        <w:spacing w:after="0" w:line="240" w:lineRule="auto"/>
        <w:jc w:val="both"/>
        <w:rPr>
          <w:rFonts w:ascii="Arial" w:hAnsi="Arial" w:cs="Arial"/>
          <w:i/>
        </w:rPr>
      </w:pPr>
    </w:p>
    <w:p w14:paraId="1C221D6E" w14:textId="77777777" w:rsidR="00A847FE" w:rsidRPr="00D16508" w:rsidRDefault="00A847FE" w:rsidP="005401CB">
      <w:pPr>
        <w:spacing w:after="0" w:line="240" w:lineRule="auto"/>
        <w:jc w:val="both"/>
        <w:rPr>
          <w:rFonts w:ascii="Arial" w:hAnsi="Arial" w:cs="Arial"/>
          <w:i/>
        </w:rPr>
      </w:pPr>
      <w:r w:rsidRPr="00D16508">
        <w:rPr>
          <w:rFonts w:ascii="Arial" w:hAnsi="Arial" w:cs="Arial"/>
          <w:i/>
        </w:rPr>
        <w:t>The ‘mean’ provides the ‘average’ figure, where the female and male hourly rates are all added together and then divided by the number of female and male staff respectively.</w:t>
      </w:r>
    </w:p>
    <w:p w14:paraId="63CFC27A" w14:textId="77777777" w:rsidR="00A847FE" w:rsidRPr="00D16508" w:rsidRDefault="00A847FE" w:rsidP="005401CB">
      <w:pPr>
        <w:pStyle w:val="ListParagraph"/>
        <w:spacing w:after="0" w:line="240" w:lineRule="auto"/>
        <w:jc w:val="both"/>
        <w:rPr>
          <w:rFonts w:ascii="Arial" w:hAnsi="Arial" w:cs="Arial"/>
        </w:rPr>
      </w:pPr>
    </w:p>
    <w:p w14:paraId="3464A108" w14:textId="77777777" w:rsidR="00E13390" w:rsidRDefault="00A847FE" w:rsidP="005401CB">
      <w:pPr>
        <w:spacing w:after="0" w:line="240" w:lineRule="auto"/>
        <w:jc w:val="both"/>
        <w:rPr>
          <w:rFonts w:ascii="Arial" w:hAnsi="Arial" w:cs="Arial"/>
          <w:i/>
        </w:rPr>
      </w:pPr>
      <w:r w:rsidRPr="00D16508">
        <w:rPr>
          <w:rFonts w:ascii="Arial" w:hAnsi="Arial" w:cs="Arial"/>
          <w:i/>
        </w:rPr>
        <w:t>By contrast the</w:t>
      </w:r>
      <w:r w:rsidR="00E13390" w:rsidRPr="00D16508">
        <w:rPr>
          <w:rFonts w:ascii="Arial" w:hAnsi="Arial" w:cs="Arial"/>
          <w:i/>
        </w:rPr>
        <w:t xml:space="preserve"> ‘median’ is the middle value in any list of numbers. If all staff lined up in a female line and a male line, in order of pay from highest to lowest, the median gender pay gap compares the </w:t>
      </w:r>
      <w:r w:rsidRPr="00D16508">
        <w:rPr>
          <w:rFonts w:ascii="Arial" w:hAnsi="Arial" w:cs="Arial"/>
          <w:i/>
        </w:rPr>
        <w:t xml:space="preserve">hourly </w:t>
      </w:r>
      <w:r w:rsidR="00E13390" w:rsidRPr="00D16508">
        <w:rPr>
          <w:rFonts w:ascii="Arial" w:hAnsi="Arial" w:cs="Arial"/>
          <w:i/>
        </w:rPr>
        <w:t xml:space="preserve">pay of the female in the middle of their line and the </w:t>
      </w:r>
      <w:r w:rsidRPr="00D16508">
        <w:rPr>
          <w:rFonts w:ascii="Arial" w:hAnsi="Arial" w:cs="Arial"/>
          <w:i/>
        </w:rPr>
        <w:t xml:space="preserve">hourly </w:t>
      </w:r>
      <w:r w:rsidR="00E13390" w:rsidRPr="00D16508">
        <w:rPr>
          <w:rFonts w:ascii="Arial" w:hAnsi="Arial" w:cs="Arial"/>
          <w:i/>
        </w:rPr>
        <w:t xml:space="preserve">pay of the male in the middle of their line. </w:t>
      </w:r>
    </w:p>
    <w:p w14:paraId="3355DAAE" w14:textId="77777777" w:rsidR="00582F64" w:rsidRDefault="00582F64" w:rsidP="005401CB">
      <w:pPr>
        <w:spacing w:after="0" w:line="240" w:lineRule="auto"/>
        <w:jc w:val="both"/>
        <w:rPr>
          <w:rFonts w:ascii="Arial" w:hAnsi="Arial" w:cs="Arial"/>
          <w:i/>
        </w:rPr>
      </w:pPr>
    </w:p>
    <w:p w14:paraId="588425F2" w14:textId="77777777" w:rsidR="00582F64" w:rsidRDefault="00582F64" w:rsidP="00582F64">
      <w:pPr>
        <w:spacing w:after="0" w:line="240" w:lineRule="auto"/>
        <w:jc w:val="both"/>
        <w:rPr>
          <w:rFonts w:ascii="Arial" w:hAnsi="Arial" w:cs="Arial"/>
          <w:szCs w:val="24"/>
        </w:rPr>
      </w:pPr>
      <w:r w:rsidRPr="00773064">
        <w:rPr>
          <w:rFonts w:ascii="Arial" w:hAnsi="Arial" w:cs="Arial"/>
          <w:szCs w:val="24"/>
        </w:rPr>
        <w:t>Bonus payments are not given at the Foundation.</w:t>
      </w:r>
    </w:p>
    <w:p w14:paraId="78A8A743" w14:textId="77777777" w:rsidR="00582F64" w:rsidRPr="00D16508" w:rsidRDefault="00582F64" w:rsidP="005401CB">
      <w:pPr>
        <w:spacing w:after="0" w:line="240" w:lineRule="auto"/>
        <w:jc w:val="both"/>
        <w:rPr>
          <w:rFonts w:ascii="Arial" w:hAnsi="Arial" w:cs="Arial"/>
          <w:i/>
        </w:rPr>
      </w:pPr>
    </w:p>
    <w:p w14:paraId="13827A2A" w14:textId="77777777" w:rsidR="00647A33" w:rsidRDefault="00647A33" w:rsidP="00180393">
      <w:pPr>
        <w:spacing w:after="0" w:line="240" w:lineRule="auto"/>
        <w:rPr>
          <w:rFonts w:ascii="Arial" w:hAnsi="Arial" w:cs="Arial"/>
          <w:b/>
        </w:rPr>
      </w:pPr>
    </w:p>
    <w:p w14:paraId="0F9550F6" w14:textId="699CF76B" w:rsidR="00504535" w:rsidRDefault="00504535" w:rsidP="00180393">
      <w:pPr>
        <w:spacing w:after="0" w:line="240" w:lineRule="auto"/>
        <w:rPr>
          <w:rFonts w:ascii="Arial" w:hAnsi="Arial" w:cs="Arial"/>
          <w:szCs w:val="24"/>
        </w:rPr>
      </w:pPr>
      <w:r w:rsidRPr="00992048">
        <w:rPr>
          <w:rFonts w:ascii="Arial" w:hAnsi="Arial" w:cs="Arial"/>
          <w:szCs w:val="24"/>
        </w:rPr>
        <w:t>Based upon the April 20</w:t>
      </w:r>
      <w:r w:rsidR="00DF1C20">
        <w:rPr>
          <w:rFonts w:ascii="Arial" w:hAnsi="Arial" w:cs="Arial"/>
          <w:szCs w:val="24"/>
        </w:rPr>
        <w:t>2</w:t>
      </w:r>
      <w:r w:rsidR="00582F64">
        <w:rPr>
          <w:rFonts w:ascii="Arial" w:hAnsi="Arial" w:cs="Arial"/>
          <w:szCs w:val="24"/>
        </w:rPr>
        <w:t>5</w:t>
      </w:r>
      <w:r w:rsidRPr="00992048">
        <w:rPr>
          <w:rFonts w:ascii="Arial" w:hAnsi="Arial" w:cs="Arial"/>
          <w:szCs w:val="24"/>
        </w:rPr>
        <w:t xml:space="preserve"> payroll </w:t>
      </w:r>
      <w:r w:rsidR="00744666">
        <w:rPr>
          <w:rFonts w:ascii="Arial" w:hAnsi="Arial" w:cs="Arial"/>
          <w:szCs w:val="24"/>
        </w:rPr>
        <w:t>3</w:t>
      </w:r>
      <w:r w:rsidR="00015E0F">
        <w:rPr>
          <w:rFonts w:ascii="Arial" w:hAnsi="Arial" w:cs="Arial"/>
          <w:szCs w:val="24"/>
        </w:rPr>
        <w:t>21</w:t>
      </w:r>
      <w:r w:rsidRPr="00992048">
        <w:rPr>
          <w:rFonts w:ascii="Arial" w:hAnsi="Arial" w:cs="Arial"/>
          <w:szCs w:val="24"/>
        </w:rPr>
        <w:t xml:space="preserve"> employees were paid.</w:t>
      </w:r>
    </w:p>
    <w:p w14:paraId="6E4FAD94" w14:textId="77777777" w:rsidR="00694881" w:rsidRDefault="00694881" w:rsidP="00180393">
      <w:pPr>
        <w:spacing w:after="0" w:line="240" w:lineRule="auto"/>
        <w:rPr>
          <w:rFonts w:ascii="Arial" w:hAnsi="Arial" w:cs="Arial"/>
          <w:szCs w:val="24"/>
        </w:rPr>
      </w:pPr>
    </w:p>
    <w:p w14:paraId="01C2FA29" w14:textId="77777777" w:rsidR="007715EF" w:rsidRDefault="007715EF" w:rsidP="00180393">
      <w:pPr>
        <w:spacing w:after="0" w:line="240" w:lineRule="auto"/>
        <w:rPr>
          <w:rFonts w:ascii="Arial" w:hAnsi="Arial" w:cs="Arial"/>
          <w:szCs w:val="24"/>
        </w:rPr>
      </w:pPr>
    </w:p>
    <w:p w14:paraId="30039FE2" w14:textId="781FD977" w:rsidR="007715EF" w:rsidRDefault="00C263BC" w:rsidP="00C263BC">
      <w:pPr>
        <w:spacing w:after="0" w:line="240" w:lineRule="auto"/>
        <w:jc w:val="center"/>
        <w:rPr>
          <w:rFonts w:ascii="Arial" w:hAnsi="Arial" w:cs="Arial"/>
          <w:szCs w:val="24"/>
        </w:rPr>
      </w:pPr>
      <w:r>
        <w:rPr>
          <w:noProof/>
          <w:lang w:eastAsia="en-GB"/>
        </w:rPr>
        <w:lastRenderedPageBreak/>
        <w:drawing>
          <wp:inline distT="0" distB="0" distL="0" distR="0" wp14:anchorId="0B9B5704" wp14:editId="1EAC9EDC">
            <wp:extent cx="4539615" cy="2872740"/>
            <wp:effectExtent l="0" t="0" r="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19624B" w14:textId="77777777" w:rsidR="007715EF" w:rsidRDefault="007715EF" w:rsidP="00180393">
      <w:pPr>
        <w:spacing w:after="0" w:line="240" w:lineRule="auto"/>
        <w:rPr>
          <w:rFonts w:ascii="Arial" w:hAnsi="Arial" w:cs="Arial"/>
          <w:szCs w:val="24"/>
        </w:rPr>
      </w:pPr>
    </w:p>
    <w:p w14:paraId="66DCA2C6" w14:textId="77777777" w:rsidR="007715EF" w:rsidRDefault="007715EF" w:rsidP="00180393">
      <w:pPr>
        <w:spacing w:after="0" w:line="240" w:lineRule="auto"/>
        <w:rPr>
          <w:rFonts w:ascii="Arial" w:hAnsi="Arial" w:cs="Arial"/>
          <w:szCs w:val="24"/>
        </w:rPr>
      </w:pPr>
    </w:p>
    <w:p w14:paraId="395D635E" w14:textId="77777777" w:rsidR="007715EF" w:rsidRDefault="007715EF" w:rsidP="00180393">
      <w:pPr>
        <w:spacing w:after="0" w:line="240" w:lineRule="auto"/>
        <w:rPr>
          <w:rFonts w:ascii="Arial" w:hAnsi="Arial" w:cs="Arial"/>
          <w:szCs w:val="24"/>
        </w:rPr>
      </w:pPr>
    </w:p>
    <w:p w14:paraId="4EB9D408" w14:textId="77777777" w:rsidR="00C96D6E" w:rsidRPr="00504535" w:rsidRDefault="00C96D6E" w:rsidP="00C96D6E">
      <w:pPr>
        <w:spacing w:after="0" w:line="240" w:lineRule="auto"/>
        <w:rPr>
          <w:rFonts w:ascii="Arial" w:hAnsi="Arial" w:cs="Arial"/>
          <w:b/>
        </w:rPr>
      </w:pPr>
      <w:r w:rsidRPr="00504535">
        <w:rPr>
          <w:rFonts w:ascii="Arial" w:hAnsi="Arial" w:cs="Arial"/>
          <w:b/>
        </w:rPr>
        <w:t>The proportion of males and females in each quartile pay band</w:t>
      </w:r>
    </w:p>
    <w:p w14:paraId="4A080A4D" w14:textId="77777777" w:rsidR="00C96D6E" w:rsidRDefault="00C96D6E" w:rsidP="005E4CE1">
      <w:pPr>
        <w:spacing w:after="0" w:line="240" w:lineRule="auto"/>
        <w:rPr>
          <w:rFonts w:ascii="Arial" w:hAnsi="Arial" w:cs="Arial"/>
          <w:szCs w:val="24"/>
        </w:rPr>
      </w:pPr>
    </w:p>
    <w:p w14:paraId="31800C2F" w14:textId="2A1EE2B8" w:rsidR="0097029A" w:rsidRDefault="0097029A" w:rsidP="00A51739">
      <w:pPr>
        <w:spacing w:after="0" w:line="240" w:lineRule="auto"/>
        <w:jc w:val="both"/>
        <w:rPr>
          <w:rFonts w:ascii="Arial" w:hAnsi="Arial" w:cs="Arial"/>
          <w:szCs w:val="24"/>
        </w:rPr>
      </w:pPr>
      <w:r w:rsidRPr="00A00406">
        <w:rPr>
          <w:rFonts w:ascii="Arial" w:hAnsi="Arial" w:cs="Arial"/>
          <w:szCs w:val="24"/>
        </w:rPr>
        <w:t xml:space="preserve">Employees were ranked in order of their pay from lowest to highest, and this range was then divided into 4 </w:t>
      </w:r>
      <w:r w:rsidR="00744666">
        <w:rPr>
          <w:rFonts w:ascii="Arial" w:hAnsi="Arial" w:cs="Arial"/>
          <w:szCs w:val="24"/>
        </w:rPr>
        <w:t>g</w:t>
      </w:r>
      <w:r w:rsidRPr="00A00406">
        <w:rPr>
          <w:rFonts w:ascii="Arial" w:hAnsi="Arial" w:cs="Arial"/>
          <w:szCs w:val="24"/>
        </w:rPr>
        <w:t xml:space="preserve">roups, </w:t>
      </w:r>
      <w:r w:rsidR="0087454D">
        <w:rPr>
          <w:rFonts w:ascii="Arial" w:hAnsi="Arial" w:cs="Arial"/>
          <w:szCs w:val="24"/>
        </w:rPr>
        <w:t xml:space="preserve">all </w:t>
      </w:r>
      <w:r w:rsidR="00744666">
        <w:rPr>
          <w:rFonts w:ascii="Arial" w:hAnsi="Arial" w:cs="Arial"/>
          <w:szCs w:val="24"/>
        </w:rPr>
        <w:t xml:space="preserve">containing </w:t>
      </w:r>
      <w:r w:rsidR="00DB0C77">
        <w:rPr>
          <w:rFonts w:ascii="Arial" w:hAnsi="Arial" w:cs="Arial"/>
          <w:szCs w:val="24"/>
        </w:rPr>
        <w:t>80</w:t>
      </w:r>
      <w:r w:rsidRPr="00BE6D00">
        <w:rPr>
          <w:rFonts w:ascii="Arial" w:hAnsi="Arial" w:cs="Arial"/>
          <w:szCs w:val="24"/>
        </w:rPr>
        <w:t xml:space="preserve"> colleagues, </w:t>
      </w:r>
      <w:r w:rsidR="00DB0C77">
        <w:rPr>
          <w:rFonts w:ascii="Arial" w:hAnsi="Arial" w:cs="Arial"/>
          <w:szCs w:val="24"/>
        </w:rPr>
        <w:t xml:space="preserve">with the exception of Quartile 4 which has 81 colleagues, </w:t>
      </w:r>
      <w:r w:rsidRPr="00BE6D00">
        <w:rPr>
          <w:rFonts w:ascii="Arial" w:hAnsi="Arial" w:cs="Arial"/>
          <w:szCs w:val="24"/>
        </w:rPr>
        <w:t>in order to show the gender profile across the Foundation.</w:t>
      </w:r>
    </w:p>
    <w:p w14:paraId="1860233F" w14:textId="77777777" w:rsidR="00617A5B" w:rsidRPr="00A00406" w:rsidRDefault="00617A5B" w:rsidP="004F2FF3">
      <w:pPr>
        <w:spacing w:after="0" w:line="240" w:lineRule="auto"/>
        <w:jc w:val="right"/>
        <w:rPr>
          <w:rFonts w:ascii="Arial" w:hAnsi="Arial" w:cs="Arial"/>
          <w:szCs w:val="24"/>
        </w:rPr>
      </w:pPr>
    </w:p>
    <w:p w14:paraId="3B34D5E5" w14:textId="77777777" w:rsidR="00F02778" w:rsidRDefault="0097029A" w:rsidP="005E4CE1">
      <w:pPr>
        <w:spacing w:after="0" w:line="240" w:lineRule="auto"/>
        <w:rPr>
          <w:rFonts w:ascii="Arial" w:hAnsi="Arial" w:cs="Arial"/>
          <w:szCs w:val="24"/>
        </w:rPr>
      </w:pPr>
      <w:r w:rsidRPr="0062100E">
        <w:rPr>
          <w:rFonts w:ascii="Arial" w:hAnsi="Arial" w:cs="Arial"/>
          <w:szCs w:val="24"/>
        </w:rPr>
        <w:t>The number of men and women in each quartile of the pay range is as follows:</w:t>
      </w:r>
    </w:p>
    <w:p w14:paraId="74FE79E5" w14:textId="77777777" w:rsidR="002F0E6E" w:rsidRDefault="002F0E6E" w:rsidP="005E4CE1">
      <w:pPr>
        <w:spacing w:after="0" w:line="240" w:lineRule="auto"/>
        <w:rPr>
          <w:rFonts w:ascii="Arial" w:hAnsi="Arial" w:cs="Arial"/>
          <w:szCs w:val="24"/>
        </w:rPr>
      </w:pPr>
    </w:p>
    <w:p w14:paraId="61973FE0" w14:textId="77777777" w:rsidR="002F0E6E" w:rsidRPr="002F0E6E" w:rsidRDefault="002F0E6E" w:rsidP="005E4CE1">
      <w:pPr>
        <w:spacing w:after="0" w:line="240" w:lineRule="auto"/>
        <w:rPr>
          <w:rFonts w:ascii="Arial" w:hAnsi="Arial" w:cs="Arial"/>
          <w:b/>
          <w:szCs w:val="24"/>
        </w:rPr>
      </w:pPr>
      <w:r w:rsidRPr="002F0E6E">
        <w:rPr>
          <w:rFonts w:ascii="Arial" w:hAnsi="Arial" w:cs="Arial"/>
          <w:b/>
          <w:szCs w:val="24"/>
        </w:rPr>
        <w:t>Pay Quartiles Split by Males &amp; Females</w:t>
      </w:r>
    </w:p>
    <w:p w14:paraId="027A4D9E" w14:textId="77777777" w:rsidR="002F0E6E" w:rsidRDefault="002F0E6E" w:rsidP="005E4CE1">
      <w:pPr>
        <w:spacing w:after="0" w:line="240" w:lineRule="auto"/>
        <w:rPr>
          <w:rFonts w:ascii="Arial" w:hAnsi="Arial" w:cs="Arial"/>
          <w:szCs w:val="24"/>
        </w:rPr>
      </w:pPr>
    </w:p>
    <w:tbl>
      <w:tblPr>
        <w:tblStyle w:val="TableGrid"/>
        <w:tblW w:w="0" w:type="auto"/>
        <w:tblInd w:w="137" w:type="dxa"/>
        <w:tblLook w:val="04A0" w:firstRow="1" w:lastRow="0" w:firstColumn="1" w:lastColumn="0" w:noHBand="0" w:noVBand="1"/>
      </w:tblPr>
      <w:tblGrid>
        <w:gridCol w:w="2126"/>
        <w:gridCol w:w="2268"/>
        <w:gridCol w:w="1449"/>
      </w:tblGrid>
      <w:tr w:rsidR="002F0E6E" w14:paraId="347207F2" w14:textId="77777777" w:rsidTr="002F0E6E">
        <w:tc>
          <w:tcPr>
            <w:tcW w:w="2126" w:type="dxa"/>
          </w:tcPr>
          <w:p w14:paraId="290066B0" w14:textId="77777777" w:rsidR="002F0E6E" w:rsidRDefault="002F0E6E" w:rsidP="005E4CE1">
            <w:pPr>
              <w:rPr>
                <w:rFonts w:ascii="Arial" w:hAnsi="Arial" w:cs="Arial"/>
                <w:szCs w:val="24"/>
              </w:rPr>
            </w:pPr>
          </w:p>
        </w:tc>
        <w:tc>
          <w:tcPr>
            <w:tcW w:w="2268" w:type="dxa"/>
          </w:tcPr>
          <w:p w14:paraId="0F7041F0" w14:textId="77777777" w:rsidR="002F0E6E" w:rsidRPr="002F0E6E" w:rsidRDefault="002F0E6E" w:rsidP="005E4CE1">
            <w:pPr>
              <w:rPr>
                <w:rFonts w:ascii="Arial" w:hAnsi="Arial" w:cs="Arial"/>
                <w:b/>
                <w:szCs w:val="24"/>
              </w:rPr>
            </w:pPr>
            <w:r w:rsidRPr="002F0E6E">
              <w:rPr>
                <w:rFonts w:ascii="Arial" w:hAnsi="Arial" w:cs="Arial"/>
                <w:b/>
                <w:szCs w:val="24"/>
              </w:rPr>
              <w:t>Males</w:t>
            </w:r>
          </w:p>
        </w:tc>
        <w:tc>
          <w:tcPr>
            <w:tcW w:w="1449" w:type="dxa"/>
          </w:tcPr>
          <w:p w14:paraId="609E500E" w14:textId="77777777" w:rsidR="002F0E6E" w:rsidRPr="002F0E6E" w:rsidRDefault="002F0E6E" w:rsidP="005E4CE1">
            <w:pPr>
              <w:rPr>
                <w:rFonts w:ascii="Arial" w:hAnsi="Arial" w:cs="Arial"/>
                <w:b/>
                <w:szCs w:val="24"/>
              </w:rPr>
            </w:pPr>
            <w:r w:rsidRPr="002F0E6E">
              <w:rPr>
                <w:rFonts w:ascii="Arial" w:hAnsi="Arial" w:cs="Arial"/>
                <w:b/>
                <w:szCs w:val="24"/>
              </w:rPr>
              <w:t>Females</w:t>
            </w:r>
          </w:p>
        </w:tc>
      </w:tr>
      <w:tr w:rsidR="002F0E6E" w14:paraId="18CE6AE9" w14:textId="77777777" w:rsidTr="002F0E6E">
        <w:tc>
          <w:tcPr>
            <w:tcW w:w="2126" w:type="dxa"/>
          </w:tcPr>
          <w:p w14:paraId="15A7A71C" w14:textId="77777777" w:rsidR="002F0E6E" w:rsidRPr="002F0E6E" w:rsidRDefault="002F0E6E" w:rsidP="005E4CE1">
            <w:pPr>
              <w:rPr>
                <w:rFonts w:ascii="Arial" w:hAnsi="Arial" w:cs="Arial"/>
                <w:b/>
                <w:szCs w:val="24"/>
              </w:rPr>
            </w:pPr>
            <w:r w:rsidRPr="002F0E6E">
              <w:rPr>
                <w:rFonts w:ascii="Arial" w:hAnsi="Arial" w:cs="Arial"/>
                <w:b/>
                <w:szCs w:val="24"/>
              </w:rPr>
              <w:t>Lower</w:t>
            </w:r>
          </w:p>
        </w:tc>
        <w:tc>
          <w:tcPr>
            <w:tcW w:w="2268" w:type="dxa"/>
          </w:tcPr>
          <w:p w14:paraId="5BC288A1" w14:textId="5CE0CDC2" w:rsidR="002F0E6E" w:rsidRDefault="00C77539" w:rsidP="00F1531E">
            <w:pPr>
              <w:rPr>
                <w:rFonts w:ascii="Arial" w:hAnsi="Arial" w:cs="Arial"/>
                <w:szCs w:val="24"/>
              </w:rPr>
            </w:pPr>
            <w:r>
              <w:rPr>
                <w:rFonts w:ascii="Arial" w:hAnsi="Arial" w:cs="Arial"/>
                <w:szCs w:val="24"/>
              </w:rPr>
              <w:t>1</w:t>
            </w:r>
            <w:r w:rsidR="00F1531E">
              <w:rPr>
                <w:rFonts w:ascii="Arial" w:hAnsi="Arial" w:cs="Arial"/>
                <w:szCs w:val="24"/>
              </w:rPr>
              <w:t>9</w:t>
            </w:r>
            <w:r>
              <w:rPr>
                <w:rFonts w:ascii="Arial" w:hAnsi="Arial" w:cs="Arial"/>
                <w:szCs w:val="24"/>
              </w:rPr>
              <w:t>%</w:t>
            </w:r>
          </w:p>
        </w:tc>
        <w:tc>
          <w:tcPr>
            <w:tcW w:w="1449" w:type="dxa"/>
          </w:tcPr>
          <w:p w14:paraId="51006FD0" w14:textId="37272EBD" w:rsidR="002F0E6E" w:rsidRDefault="00F1531E" w:rsidP="005E4CE1">
            <w:pPr>
              <w:rPr>
                <w:rFonts w:ascii="Arial" w:hAnsi="Arial" w:cs="Arial"/>
                <w:szCs w:val="24"/>
              </w:rPr>
            </w:pPr>
            <w:r>
              <w:rPr>
                <w:rFonts w:ascii="Arial" w:hAnsi="Arial" w:cs="Arial"/>
                <w:szCs w:val="24"/>
              </w:rPr>
              <w:t>81%</w:t>
            </w:r>
          </w:p>
        </w:tc>
      </w:tr>
      <w:tr w:rsidR="002F0E6E" w14:paraId="33EBB7EE" w14:textId="77777777" w:rsidTr="002F0E6E">
        <w:tc>
          <w:tcPr>
            <w:tcW w:w="2126" w:type="dxa"/>
          </w:tcPr>
          <w:p w14:paraId="41E83926" w14:textId="77777777" w:rsidR="002F0E6E" w:rsidRPr="002F0E6E" w:rsidRDefault="002F0E6E" w:rsidP="005E4CE1">
            <w:pPr>
              <w:rPr>
                <w:rFonts w:ascii="Arial" w:hAnsi="Arial" w:cs="Arial"/>
                <w:b/>
                <w:szCs w:val="24"/>
              </w:rPr>
            </w:pPr>
            <w:r w:rsidRPr="002F0E6E">
              <w:rPr>
                <w:rFonts w:ascii="Arial" w:hAnsi="Arial" w:cs="Arial"/>
                <w:b/>
                <w:szCs w:val="24"/>
              </w:rPr>
              <w:t>Lower Middle</w:t>
            </w:r>
          </w:p>
        </w:tc>
        <w:tc>
          <w:tcPr>
            <w:tcW w:w="2268" w:type="dxa"/>
          </w:tcPr>
          <w:p w14:paraId="04E52BBE" w14:textId="4EDDC95E" w:rsidR="002F0E6E" w:rsidRDefault="00A51739" w:rsidP="0087454D">
            <w:pPr>
              <w:rPr>
                <w:rFonts w:ascii="Arial" w:hAnsi="Arial" w:cs="Arial"/>
                <w:szCs w:val="24"/>
              </w:rPr>
            </w:pPr>
            <w:r>
              <w:rPr>
                <w:rFonts w:ascii="Arial" w:hAnsi="Arial" w:cs="Arial"/>
                <w:szCs w:val="24"/>
              </w:rPr>
              <w:t>3</w:t>
            </w:r>
            <w:r w:rsidR="00F1531E">
              <w:rPr>
                <w:rFonts w:ascii="Arial" w:hAnsi="Arial" w:cs="Arial"/>
                <w:szCs w:val="24"/>
              </w:rPr>
              <w:t>4</w:t>
            </w:r>
            <w:r w:rsidR="002F0E6E">
              <w:rPr>
                <w:rFonts w:ascii="Arial" w:hAnsi="Arial" w:cs="Arial"/>
                <w:szCs w:val="24"/>
              </w:rPr>
              <w:t>%</w:t>
            </w:r>
          </w:p>
        </w:tc>
        <w:tc>
          <w:tcPr>
            <w:tcW w:w="1449" w:type="dxa"/>
          </w:tcPr>
          <w:p w14:paraId="66CBCFB1" w14:textId="4DA51236" w:rsidR="002F0E6E" w:rsidRDefault="00A51739" w:rsidP="00F1531E">
            <w:pPr>
              <w:rPr>
                <w:rFonts w:ascii="Arial" w:hAnsi="Arial" w:cs="Arial"/>
                <w:szCs w:val="24"/>
              </w:rPr>
            </w:pPr>
            <w:r>
              <w:rPr>
                <w:rFonts w:ascii="Arial" w:hAnsi="Arial" w:cs="Arial"/>
                <w:szCs w:val="24"/>
              </w:rPr>
              <w:t>6</w:t>
            </w:r>
            <w:r w:rsidR="00F1531E">
              <w:rPr>
                <w:rFonts w:ascii="Arial" w:hAnsi="Arial" w:cs="Arial"/>
                <w:szCs w:val="24"/>
              </w:rPr>
              <w:t>6</w:t>
            </w:r>
            <w:r w:rsidR="00C77539">
              <w:rPr>
                <w:rFonts w:ascii="Arial" w:hAnsi="Arial" w:cs="Arial"/>
                <w:szCs w:val="24"/>
              </w:rPr>
              <w:t>%</w:t>
            </w:r>
          </w:p>
        </w:tc>
      </w:tr>
      <w:tr w:rsidR="002F0E6E" w14:paraId="58D7FD44" w14:textId="77777777" w:rsidTr="002F0E6E">
        <w:tc>
          <w:tcPr>
            <w:tcW w:w="2126" w:type="dxa"/>
          </w:tcPr>
          <w:p w14:paraId="74FBFE40" w14:textId="77777777" w:rsidR="002F0E6E" w:rsidRPr="002F0E6E" w:rsidRDefault="002F0E6E" w:rsidP="005E4CE1">
            <w:pPr>
              <w:rPr>
                <w:rFonts w:ascii="Arial" w:hAnsi="Arial" w:cs="Arial"/>
                <w:b/>
                <w:szCs w:val="24"/>
              </w:rPr>
            </w:pPr>
            <w:r w:rsidRPr="002F0E6E">
              <w:rPr>
                <w:rFonts w:ascii="Arial" w:hAnsi="Arial" w:cs="Arial"/>
                <w:b/>
                <w:szCs w:val="24"/>
              </w:rPr>
              <w:t>Upper Middle</w:t>
            </w:r>
          </w:p>
        </w:tc>
        <w:tc>
          <w:tcPr>
            <w:tcW w:w="2268" w:type="dxa"/>
          </w:tcPr>
          <w:p w14:paraId="0255C076" w14:textId="45CCACB2" w:rsidR="002F0E6E" w:rsidRDefault="00C77539" w:rsidP="00FC0926">
            <w:pPr>
              <w:rPr>
                <w:rFonts w:ascii="Arial" w:hAnsi="Arial" w:cs="Arial"/>
                <w:szCs w:val="24"/>
              </w:rPr>
            </w:pPr>
            <w:r>
              <w:rPr>
                <w:rFonts w:ascii="Arial" w:hAnsi="Arial" w:cs="Arial"/>
                <w:szCs w:val="24"/>
              </w:rPr>
              <w:t>4</w:t>
            </w:r>
            <w:r w:rsidR="00FC0926">
              <w:rPr>
                <w:rFonts w:ascii="Arial" w:hAnsi="Arial" w:cs="Arial"/>
                <w:szCs w:val="24"/>
              </w:rPr>
              <w:t>2</w:t>
            </w:r>
            <w:r w:rsidR="002F0E6E">
              <w:rPr>
                <w:rFonts w:ascii="Arial" w:hAnsi="Arial" w:cs="Arial"/>
                <w:szCs w:val="24"/>
              </w:rPr>
              <w:t>%</w:t>
            </w:r>
          </w:p>
        </w:tc>
        <w:tc>
          <w:tcPr>
            <w:tcW w:w="1449" w:type="dxa"/>
          </w:tcPr>
          <w:p w14:paraId="2EC50EDD" w14:textId="580A06EC" w:rsidR="002F0E6E" w:rsidRDefault="00C77539" w:rsidP="0087454D">
            <w:pPr>
              <w:rPr>
                <w:rFonts w:ascii="Arial" w:hAnsi="Arial" w:cs="Arial"/>
                <w:szCs w:val="24"/>
              </w:rPr>
            </w:pPr>
            <w:r>
              <w:rPr>
                <w:rFonts w:ascii="Arial" w:hAnsi="Arial" w:cs="Arial"/>
                <w:szCs w:val="24"/>
              </w:rPr>
              <w:t>5</w:t>
            </w:r>
            <w:r w:rsidR="00FF2B82">
              <w:rPr>
                <w:rFonts w:ascii="Arial" w:hAnsi="Arial" w:cs="Arial"/>
                <w:szCs w:val="24"/>
              </w:rPr>
              <w:t>8</w:t>
            </w:r>
            <w:r>
              <w:rPr>
                <w:rFonts w:ascii="Arial" w:hAnsi="Arial" w:cs="Arial"/>
                <w:szCs w:val="24"/>
              </w:rPr>
              <w:t>%</w:t>
            </w:r>
          </w:p>
        </w:tc>
      </w:tr>
      <w:tr w:rsidR="002F0E6E" w14:paraId="0B907AEC" w14:textId="77777777" w:rsidTr="002F0E6E">
        <w:tc>
          <w:tcPr>
            <w:tcW w:w="2126" w:type="dxa"/>
          </w:tcPr>
          <w:p w14:paraId="711C0765" w14:textId="77777777" w:rsidR="002F0E6E" w:rsidRPr="002F0E6E" w:rsidRDefault="002F0E6E" w:rsidP="005E4CE1">
            <w:pPr>
              <w:rPr>
                <w:rFonts w:ascii="Arial" w:hAnsi="Arial" w:cs="Arial"/>
                <w:b/>
                <w:szCs w:val="24"/>
              </w:rPr>
            </w:pPr>
            <w:r w:rsidRPr="002F0E6E">
              <w:rPr>
                <w:rFonts w:ascii="Arial" w:hAnsi="Arial" w:cs="Arial"/>
                <w:b/>
                <w:szCs w:val="24"/>
              </w:rPr>
              <w:t>Upper</w:t>
            </w:r>
          </w:p>
        </w:tc>
        <w:tc>
          <w:tcPr>
            <w:tcW w:w="2268" w:type="dxa"/>
          </w:tcPr>
          <w:p w14:paraId="5B54AAE5" w14:textId="1953996B" w:rsidR="002F0E6E" w:rsidRDefault="00F1531E" w:rsidP="0087454D">
            <w:pPr>
              <w:rPr>
                <w:rFonts w:ascii="Arial" w:hAnsi="Arial" w:cs="Arial"/>
                <w:szCs w:val="24"/>
              </w:rPr>
            </w:pPr>
            <w:r>
              <w:rPr>
                <w:rFonts w:ascii="Arial" w:hAnsi="Arial" w:cs="Arial"/>
                <w:szCs w:val="24"/>
              </w:rPr>
              <w:t>49</w:t>
            </w:r>
            <w:r w:rsidR="002F0E6E">
              <w:rPr>
                <w:rFonts w:ascii="Arial" w:hAnsi="Arial" w:cs="Arial"/>
                <w:szCs w:val="24"/>
              </w:rPr>
              <w:t>%</w:t>
            </w:r>
          </w:p>
        </w:tc>
        <w:tc>
          <w:tcPr>
            <w:tcW w:w="1449" w:type="dxa"/>
          </w:tcPr>
          <w:p w14:paraId="5A2D011C" w14:textId="13B878E8" w:rsidR="002F0E6E" w:rsidRDefault="0087454D" w:rsidP="0087454D">
            <w:pPr>
              <w:rPr>
                <w:rFonts w:ascii="Arial" w:hAnsi="Arial" w:cs="Arial"/>
                <w:szCs w:val="24"/>
              </w:rPr>
            </w:pPr>
            <w:r>
              <w:rPr>
                <w:rFonts w:ascii="Arial" w:hAnsi="Arial" w:cs="Arial"/>
                <w:szCs w:val="24"/>
              </w:rPr>
              <w:t>5</w:t>
            </w:r>
            <w:r w:rsidR="00FF2B82">
              <w:rPr>
                <w:rFonts w:ascii="Arial" w:hAnsi="Arial" w:cs="Arial"/>
                <w:szCs w:val="24"/>
              </w:rPr>
              <w:t>1</w:t>
            </w:r>
            <w:r w:rsidR="006168AA">
              <w:rPr>
                <w:rFonts w:ascii="Arial" w:hAnsi="Arial" w:cs="Arial"/>
                <w:szCs w:val="24"/>
              </w:rPr>
              <w:t>%</w:t>
            </w:r>
          </w:p>
        </w:tc>
      </w:tr>
    </w:tbl>
    <w:p w14:paraId="40C86ADA" w14:textId="77777777" w:rsidR="008227B3" w:rsidRDefault="008227B3" w:rsidP="002F0E6E">
      <w:pPr>
        <w:spacing w:after="0" w:line="240" w:lineRule="auto"/>
        <w:jc w:val="center"/>
        <w:rPr>
          <w:rFonts w:ascii="Arial" w:hAnsi="Arial" w:cs="Arial"/>
          <w:szCs w:val="24"/>
        </w:rPr>
      </w:pPr>
    </w:p>
    <w:p w14:paraId="63B81319" w14:textId="77777777" w:rsidR="006D41C6" w:rsidRDefault="006D41C6" w:rsidP="0097029A">
      <w:pPr>
        <w:spacing w:after="0" w:line="240" w:lineRule="auto"/>
        <w:rPr>
          <w:rFonts w:ascii="Arial" w:hAnsi="Arial" w:cs="Arial"/>
          <w:szCs w:val="24"/>
        </w:rPr>
      </w:pPr>
    </w:p>
    <w:tbl>
      <w:tblPr>
        <w:tblStyle w:val="TableGrid"/>
        <w:tblW w:w="0" w:type="auto"/>
        <w:tblInd w:w="137" w:type="dxa"/>
        <w:tblLook w:val="04A0" w:firstRow="1" w:lastRow="0" w:firstColumn="1" w:lastColumn="0" w:noHBand="0" w:noVBand="1"/>
      </w:tblPr>
      <w:tblGrid>
        <w:gridCol w:w="2126"/>
        <w:gridCol w:w="2268"/>
        <w:gridCol w:w="2268"/>
      </w:tblGrid>
      <w:tr w:rsidR="00F9332C" w:rsidRPr="00FA4EEB" w14:paraId="7D2E1E73" w14:textId="77777777" w:rsidTr="002F0E6E">
        <w:tc>
          <w:tcPr>
            <w:tcW w:w="2126" w:type="dxa"/>
          </w:tcPr>
          <w:p w14:paraId="27C1811F" w14:textId="77777777" w:rsidR="00F9332C" w:rsidRPr="00FA4EEB" w:rsidRDefault="00F9332C" w:rsidP="002F0E6E">
            <w:pPr>
              <w:rPr>
                <w:rFonts w:ascii="Arial" w:hAnsi="Arial" w:cs="Arial"/>
                <w:b/>
                <w:sz w:val="24"/>
                <w:szCs w:val="24"/>
              </w:rPr>
            </w:pPr>
          </w:p>
        </w:tc>
        <w:tc>
          <w:tcPr>
            <w:tcW w:w="2268" w:type="dxa"/>
          </w:tcPr>
          <w:p w14:paraId="45835056" w14:textId="77777777" w:rsidR="00F9332C" w:rsidRPr="00FA4EEB" w:rsidRDefault="00F9332C" w:rsidP="002F0E6E">
            <w:pPr>
              <w:rPr>
                <w:rFonts w:ascii="Arial" w:hAnsi="Arial" w:cs="Arial"/>
                <w:b/>
                <w:szCs w:val="24"/>
              </w:rPr>
            </w:pPr>
            <w:r w:rsidRPr="00FA4EEB">
              <w:rPr>
                <w:rFonts w:ascii="Arial" w:hAnsi="Arial" w:cs="Arial"/>
                <w:b/>
                <w:szCs w:val="24"/>
              </w:rPr>
              <w:t>Number of Males</w:t>
            </w:r>
          </w:p>
        </w:tc>
        <w:tc>
          <w:tcPr>
            <w:tcW w:w="2268" w:type="dxa"/>
          </w:tcPr>
          <w:p w14:paraId="59ADD76C" w14:textId="77777777" w:rsidR="00F9332C" w:rsidRPr="00FA4EEB" w:rsidRDefault="00F9332C" w:rsidP="002F0E6E">
            <w:pPr>
              <w:rPr>
                <w:rFonts w:ascii="Arial" w:hAnsi="Arial" w:cs="Arial"/>
                <w:b/>
                <w:szCs w:val="24"/>
              </w:rPr>
            </w:pPr>
            <w:r w:rsidRPr="00FA4EEB">
              <w:rPr>
                <w:rFonts w:ascii="Arial" w:hAnsi="Arial" w:cs="Arial"/>
                <w:b/>
                <w:szCs w:val="24"/>
              </w:rPr>
              <w:t>Number of Females</w:t>
            </w:r>
          </w:p>
        </w:tc>
      </w:tr>
      <w:tr w:rsidR="00F9332C" w:rsidRPr="00FA4EEB" w14:paraId="348D984C" w14:textId="77777777" w:rsidTr="002F0E6E">
        <w:tc>
          <w:tcPr>
            <w:tcW w:w="2126" w:type="dxa"/>
          </w:tcPr>
          <w:p w14:paraId="6D532845" w14:textId="77777777" w:rsidR="00F9332C" w:rsidRPr="00FA4EEB" w:rsidRDefault="00F9332C" w:rsidP="002F0E6E">
            <w:pPr>
              <w:rPr>
                <w:rFonts w:ascii="Arial" w:hAnsi="Arial" w:cs="Arial"/>
                <w:b/>
                <w:szCs w:val="24"/>
              </w:rPr>
            </w:pPr>
            <w:r w:rsidRPr="00FA4EEB">
              <w:rPr>
                <w:rFonts w:ascii="Arial" w:hAnsi="Arial" w:cs="Arial"/>
                <w:b/>
                <w:szCs w:val="24"/>
              </w:rPr>
              <w:t xml:space="preserve">Lower </w:t>
            </w:r>
          </w:p>
        </w:tc>
        <w:tc>
          <w:tcPr>
            <w:tcW w:w="2268" w:type="dxa"/>
          </w:tcPr>
          <w:p w14:paraId="2A3CE112" w14:textId="089456F4" w:rsidR="00F9332C" w:rsidRPr="00FA4EEB" w:rsidRDefault="00F1531E" w:rsidP="002F0E6E">
            <w:pPr>
              <w:rPr>
                <w:rFonts w:ascii="Arial" w:hAnsi="Arial" w:cs="Arial"/>
                <w:szCs w:val="24"/>
              </w:rPr>
            </w:pPr>
            <w:r>
              <w:rPr>
                <w:rFonts w:ascii="Arial" w:hAnsi="Arial" w:cs="Arial"/>
                <w:szCs w:val="24"/>
              </w:rPr>
              <w:t>15</w:t>
            </w:r>
          </w:p>
        </w:tc>
        <w:tc>
          <w:tcPr>
            <w:tcW w:w="2268" w:type="dxa"/>
          </w:tcPr>
          <w:p w14:paraId="7C9328B5" w14:textId="3DE3F06A" w:rsidR="00F9332C" w:rsidRPr="00FA4EEB" w:rsidRDefault="0087454D" w:rsidP="00F1531E">
            <w:pPr>
              <w:rPr>
                <w:rFonts w:ascii="Arial" w:hAnsi="Arial" w:cs="Arial"/>
                <w:szCs w:val="24"/>
              </w:rPr>
            </w:pPr>
            <w:r>
              <w:rPr>
                <w:rFonts w:ascii="Arial" w:hAnsi="Arial" w:cs="Arial"/>
                <w:szCs w:val="24"/>
              </w:rPr>
              <w:t>6</w:t>
            </w:r>
            <w:r w:rsidR="00F1531E">
              <w:rPr>
                <w:rFonts w:ascii="Arial" w:hAnsi="Arial" w:cs="Arial"/>
                <w:szCs w:val="24"/>
              </w:rPr>
              <w:t>5</w:t>
            </w:r>
          </w:p>
        </w:tc>
      </w:tr>
      <w:tr w:rsidR="00F9332C" w:rsidRPr="00FA4EEB" w14:paraId="14F6CD01" w14:textId="77777777" w:rsidTr="002F0E6E">
        <w:tc>
          <w:tcPr>
            <w:tcW w:w="2126" w:type="dxa"/>
          </w:tcPr>
          <w:p w14:paraId="37186EDB" w14:textId="77777777" w:rsidR="00F9332C" w:rsidRPr="00FA4EEB" w:rsidRDefault="00F9332C" w:rsidP="002F0E6E">
            <w:pPr>
              <w:rPr>
                <w:rFonts w:ascii="Arial" w:hAnsi="Arial" w:cs="Arial"/>
                <w:b/>
                <w:szCs w:val="24"/>
              </w:rPr>
            </w:pPr>
            <w:r w:rsidRPr="00FA4EEB">
              <w:rPr>
                <w:rFonts w:ascii="Arial" w:hAnsi="Arial" w:cs="Arial"/>
                <w:b/>
                <w:szCs w:val="24"/>
              </w:rPr>
              <w:t>Lower Middle</w:t>
            </w:r>
          </w:p>
        </w:tc>
        <w:tc>
          <w:tcPr>
            <w:tcW w:w="2268" w:type="dxa"/>
          </w:tcPr>
          <w:p w14:paraId="3F6199D5" w14:textId="05726152" w:rsidR="00F9332C" w:rsidRPr="00FA4EEB" w:rsidRDefault="0087454D" w:rsidP="00F1531E">
            <w:pPr>
              <w:rPr>
                <w:rFonts w:ascii="Arial" w:hAnsi="Arial" w:cs="Arial"/>
                <w:szCs w:val="24"/>
              </w:rPr>
            </w:pPr>
            <w:r>
              <w:rPr>
                <w:rFonts w:ascii="Arial" w:hAnsi="Arial" w:cs="Arial"/>
                <w:szCs w:val="24"/>
              </w:rPr>
              <w:t>2</w:t>
            </w:r>
            <w:r w:rsidR="00F1531E">
              <w:rPr>
                <w:rFonts w:ascii="Arial" w:hAnsi="Arial" w:cs="Arial"/>
                <w:szCs w:val="24"/>
              </w:rPr>
              <w:t>7</w:t>
            </w:r>
          </w:p>
        </w:tc>
        <w:tc>
          <w:tcPr>
            <w:tcW w:w="2268" w:type="dxa"/>
          </w:tcPr>
          <w:p w14:paraId="1E5744CA" w14:textId="558275CA" w:rsidR="00F9332C" w:rsidRPr="00FA4EEB" w:rsidRDefault="00F1531E" w:rsidP="002F0E6E">
            <w:pPr>
              <w:rPr>
                <w:rFonts w:ascii="Arial" w:hAnsi="Arial" w:cs="Arial"/>
                <w:szCs w:val="24"/>
              </w:rPr>
            </w:pPr>
            <w:r>
              <w:rPr>
                <w:rFonts w:ascii="Arial" w:hAnsi="Arial" w:cs="Arial"/>
                <w:szCs w:val="24"/>
              </w:rPr>
              <w:t>53</w:t>
            </w:r>
          </w:p>
        </w:tc>
      </w:tr>
      <w:tr w:rsidR="00F9332C" w:rsidRPr="00FA4EEB" w14:paraId="424CDBAE" w14:textId="77777777" w:rsidTr="002F0E6E">
        <w:tc>
          <w:tcPr>
            <w:tcW w:w="2126" w:type="dxa"/>
          </w:tcPr>
          <w:p w14:paraId="5B236E1D" w14:textId="77777777" w:rsidR="00F9332C" w:rsidRPr="00FA4EEB" w:rsidRDefault="00F9332C" w:rsidP="002F0E6E">
            <w:pPr>
              <w:rPr>
                <w:rFonts w:ascii="Arial" w:hAnsi="Arial" w:cs="Arial"/>
                <w:b/>
                <w:szCs w:val="24"/>
              </w:rPr>
            </w:pPr>
            <w:r w:rsidRPr="00FA4EEB">
              <w:rPr>
                <w:rFonts w:ascii="Arial" w:hAnsi="Arial" w:cs="Arial"/>
                <w:b/>
                <w:szCs w:val="24"/>
              </w:rPr>
              <w:t>Upper Middle</w:t>
            </w:r>
          </w:p>
        </w:tc>
        <w:tc>
          <w:tcPr>
            <w:tcW w:w="2268" w:type="dxa"/>
          </w:tcPr>
          <w:p w14:paraId="794424B3" w14:textId="2FCF3D57" w:rsidR="00F9332C" w:rsidRPr="00FA4EEB" w:rsidRDefault="00F1531E" w:rsidP="002F0E6E">
            <w:pPr>
              <w:rPr>
                <w:rFonts w:ascii="Arial" w:hAnsi="Arial" w:cs="Arial"/>
                <w:szCs w:val="24"/>
              </w:rPr>
            </w:pPr>
            <w:r>
              <w:rPr>
                <w:rFonts w:ascii="Arial" w:hAnsi="Arial" w:cs="Arial"/>
                <w:szCs w:val="24"/>
              </w:rPr>
              <w:t>34</w:t>
            </w:r>
          </w:p>
        </w:tc>
        <w:tc>
          <w:tcPr>
            <w:tcW w:w="2268" w:type="dxa"/>
          </w:tcPr>
          <w:p w14:paraId="4640E2E2" w14:textId="778D2A49" w:rsidR="00F9332C" w:rsidRPr="00FA4EEB" w:rsidRDefault="00F1531E" w:rsidP="002F0E6E">
            <w:pPr>
              <w:rPr>
                <w:rFonts w:ascii="Arial" w:hAnsi="Arial" w:cs="Arial"/>
                <w:szCs w:val="24"/>
              </w:rPr>
            </w:pPr>
            <w:r>
              <w:rPr>
                <w:rFonts w:ascii="Arial" w:hAnsi="Arial" w:cs="Arial"/>
                <w:szCs w:val="24"/>
              </w:rPr>
              <w:t>46</w:t>
            </w:r>
          </w:p>
        </w:tc>
      </w:tr>
      <w:tr w:rsidR="00F9332C" w:rsidRPr="00FA4EEB" w14:paraId="55D10992" w14:textId="77777777" w:rsidTr="002F0E6E">
        <w:tc>
          <w:tcPr>
            <w:tcW w:w="2126" w:type="dxa"/>
          </w:tcPr>
          <w:p w14:paraId="19948B6A" w14:textId="77777777" w:rsidR="00F9332C" w:rsidRPr="00FA4EEB" w:rsidRDefault="00F9332C" w:rsidP="002F0E6E">
            <w:pPr>
              <w:rPr>
                <w:rFonts w:ascii="Arial" w:hAnsi="Arial" w:cs="Arial"/>
                <w:b/>
                <w:szCs w:val="24"/>
              </w:rPr>
            </w:pPr>
            <w:r w:rsidRPr="00FA4EEB">
              <w:rPr>
                <w:rFonts w:ascii="Arial" w:hAnsi="Arial" w:cs="Arial"/>
                <w:b/>
                <w:szCs w:val="24"/>
              </w:rPr>
              <w:t>Upper</w:t>
            </w:r>
          </w:p>
        </w:tc>
        <w:tc>
          <w:tcPr>
            <w:tcW w:w="2268" w:type="dxa"/>
          </w:tcPr>
          <w:p w14:paraId="72B515E1" w14:textId="6B6F23ED" w:rsidR="00F9332C" w:rsidRPr="00FA4EEB" w:rsidRDefault="0087454D" w:rsidP="002F0E6E">
            <w:pPr>
              <w:rPr>
                <w:rFonts w:ascii="Arial" w:hAnsi="Arial" w:cs="Arial"/>
                <w:szCs w:val="24"/>
              </w:rPr>
            </w:pPr>
            <w:r>
              <w:rPr>
                <w:rFonts w:ascii="Arial" w:hAnsi="Arial" w:cs="Arial"/>
                <w:szCs w:val="24"/>
              </w:rPr>
              <w:t>4</w:t>
            </w:r>
            <w:r w:rsidR="00F1531E">
              <w:rPr>
                <w:rFonts w:ascii="Arial" w:hAnsi="Arial" w:cs="Arial"/>
                <w:szCs w:val="24"/>
              </w:rPr>
              <w:t>0</w:t>
            </w:r>
          </w:p>
        </w:tc>
        <w:tc>
          <w:tcPr>
            <w:tcW w:w="2268" w:type="dxa"/>
          </w:tcPr>
          <w:p w14:paraId="281557AB" w14:textId="63BC081B" w:rsidR="00F9332C" w:rsidRPr="00FA4EEB" w:rsidRDefault="00F1531E" w:rsidP="002F0E6E">
            <w:pPr>
              <w:rPr>
                <w:rFonts w:ascii="Arial" w:hAnsi="Arial" w:cs="Arial"/>
                <w:szCs w:val="24"/>
              </w:rPr>
            </w:pPr>
            <w:r>
              <w:rPr>
                <w:rFonts w:ascii="Arial" w:hAnsi="Arial" w:cs="Arial"/>
                <w:szCs w:val="24"/>
              </w:rPr>
              <w:t>41</w:t>
            </w:r>
          </w:p>
        </w:tc>
      </w:tr>
      <w:tr w:rsidR="00FC0429" w:rsidRPr="00FA4EEB" w14:paraId="09B58573" w14:textId="77777777" w:rsidTr="002F0E6E">
        <w:tc>
          <w:tcPr>
            <w:tcW w:w="2126" w:type="dxa"/>
          </w:tcPr>
          <w:p w14:paraId="4F6906B2" w14:textId="77777777" w:rsidR="00FC0429" w:rsidRPr="00FA4EEB" w:rsidRDefault="00FC0429" w:rsidP="002F0E6E">
            <w:pPr>
              <w:rPr>
                <w:rFonts w:ascii="Arial" w:hAnsi="Arial" w:cs="Arial"/>
                <w:b/>
                <w:szCs w:val="24"/>
              </w:rPr>
            </w:pPr>
            <w:r>
              <w:rPr>
                <w:rFonts w:ascii="Arial" w:hAnsi="Arial" w:cs="Arial"/>
                <w:b/>
                <w:szCs w:val="24"/>
              </w:rPr>
              <w:t>Total</w:t>
            </w:r>
          </w:p>
        </w:tc>
        <w:tc>
          <w:tcPr>
            <w:tcW w:w="2268" w:type="dxa"/>
          </w:tcPr>
          <w:p w14:paraId="0B32C0A5" w14:textId="445DA92B" w:rsidR="00FC0429" w:rsidRPr="00FC0429" w:rsidRDefault="0087454D" w:rsidP="00F1531E">
            <w:pPr>
              <w:rPr>
                <w:rFonts w:ascii="Arial" w:hAnsi="Arial" w:cs="Arial"/>
                <w:b/>
                <w:szCs w:val="24"/>
              </w:rPr>
            </w:pPr>
            <w:r>
              <w:rPr>
                <w:rFonts w:ascii="Arial" w:hAnsi="Arial" w:cs="Arial"/>
                <w:b/>
                <w:szCs w:val="24"/>
              </w:rPr>
              <w:t>1</w:t>
            </w:r>
            <w:r w:rsidR="00F1531E">
              <w:rPr>
                <w:rFonts w:ascii="Arial" w:hAnsi="Arial" w:cs="Arial"/>
                <w:b/>
                <w:szCs w:val="24"/>
              </w:rPr>
              <w:t>16</w:t>
            </w:r>
          </w:p>
        </w:tc>
        <w:tc>
          <w:tcPr>
            <w:tcW w:w="2268" w:type="dxa"/>
          </w:tcPr>
          <w:p w14:paraId="35153596" w14:textId="611C8130" w:rsidR="006168AA" w:rsidRPr="00FC0429" w:rsidRDefault="00F1531E" w:rsidP="002F0E6E">
            <w:pPr>
              <w:rPr>
                <w:rFonts w:ascii="Arial" w:hAnsi="Arial" w:cs="Arial"/>
                <w:b/>
                <w:szCs w:val="24"/>
              </w:rPr>
            </w:pPr>
            <w:r>
              <w:rPr>
                <w:rFonts w:ascii="Arial" w:hAnsi="Arial" w:cs="Arial"/>
                <w:b/>
                <w:szCs w:val="24"/>
              </w:rPr>
              <w:t>205</w:t>
            </w:r>
          </w:p>
        </w:tc>
      </w:tr>
    </w:tbl>
    <w:p w14:paraId="2529F788" w14:textId="0FC7D8E2" w:rsidR="00582F64" w:rsidRPr="00582F64" w:rsidRDefault="00E13390" w:rsidP="00582F64">
      <w:pPr>
        <w:spacing w:after="0" w:line="240" w:lineRule="auto"/>
        <w:jc w:val="both"/>
        <w:rPr>
          <w:rFonts w:ascii="Arial" w:hAnsi="Arial" w:cs="Arial"/>
        </w:rPr>
      </w:pPr>
      <w:r w:rsidRPr="00FA4EEB">
        <w:rPr>
          <w:rFonts w:ascii="Arial" w:hAnsi="Arial" w:cs="Arial"/>
          <w:sz w:val="24"/>
          <w:szCs w:val="24"/>
        </w:rPr>
        <w:tab/>
      </w:r>
      <w:r w:rsidRPr="00FA4EEB">
        <w:rPr>
          <w:rFonts w:ascii="Arial" w:hAnsi="Arial" w:cs="Arial"/>
          <w:sz w:val="24"/>
          <w:szCs w:val="24"/>
        </w:rPr>
        <w:br w:type="textWrapping" w:clear="all"/>
      </w:r>
      <w:r w:rsidR="00582F64" w:rsidRPr="00582F64">
        <w:rPr>
          <w:rFonts w:ascii="Arial" w:hAnsi="Arial" w:cs="Arial"/>
        </w:rPr>
        <w:t xml:space="preserve">The data shows a significant narrowing of the median gap from </w:t>
      </w:r>
      <w:r w:rsidR="00582F64" w:rsidRPr="00582F64">
        <w:rPr>
          <w:rFonts w:ascii="Arial" w:hAnsi="Arial" w:cs="Arial"/>
          <w:b/>
          <w:bCs/>
        </w:rPr>
        <w:t>28.57% (2023)</w:t>
      </w:r>
      <w:r w:rsidR="00582F64" w:rsidRPr="00582F64">
        <w:rPr>
          <w:rFonts w:ascii="Arial" w:hAnsi="Arial" w:cs="Arial"/>
        </w:rPr>
        <w:t xml:space="preserve"> to </w:t>
      </w:r>
      <w:r w:rsidR="00582F64" w:rsidRPr="00582F64">
        <w:rPr>
          <w:rFonts w:ascii="Arial" w:hAnsi="Arial" w:cs="Arial"/>
          <w:b/>
          <w:bCs/>
        </w:rPr>
        <w:t>1</w:t>
      </w:r>
      <w:r w:rsidR="00B42032">
        <w:rPr>
          <w:rFonts w:ascii="Arial" w:hAnsi="Arial" w:cs="Arial"/>
          <w:b/>
          <w:bCs/>
        </w:rPr>
        <w:t>1.16</w:t>
      </w:r>
      <w:r w:rsidR="00582F64" w:rsidRPr="00582F64">
        <w:rPr>
          <w:rFonts w:ascii="Arial" w:hAnsi="Arial" w:cs="Arial"/>
          <w:b/>
          <w:bCs/>
        </w:rPr>
        <w:t>% (2025)</w:t>
      </w:r>
      <w:r w:rsidR="00582F64" w:rsidRPr="00582F64">
        <w:rPr>
          <w:rFonts w:ascii="Arial" w:hAnsi="Arial" w:cs="Arial"/>
        </w:rPr>
        <w:t>.</w:t>
      </w:r>
    </w:p>
    <w:p w14:paraId="5609E409" w14:textId="0566EB84" w:rsidR="00582F64" w:rsidRPr="00582F64" w:rsidRDefault="00582F64" w:rsidP="00582F64">
      <w:pPr>
        <w:numPr>
          <w:ilvl w:val="0"/>
          <w:numId w:val="3"/>
        </w:numPr>
        <w:spacing w:after="0" w:line="240" w:lineRule="auto"/>
        <w:jc w:val="both"/>
        <w:rPr>
          <w:rFonts w:ascii="Arial" w:hAnsi="Arial" w:cs="Arial"/>
          <w:szCs w:val="24"/>
        </w:rPr>
      </w:pPr>
      <w:r w:rsidRPr="00582F64">
        <w:rPr>
          <w:rFonts w:ascii="Arial" w:hAnsi="Arial" w:cs="Arial"/>
          <w:b/>
          <w:bCs/>
          <w:szCs w:val="24"/>
        </w:rPr>
        <w:t>Occupational Segregation:</w:t>
      </w:r>
      <w:r w:rsidRPr="00582F64">
        <w:rPr>
          <w:rFonts w:ascii="Arial" w:hAnsi="Arial" w:cs="Arial"/>
          <w:szCs w:val="24"/>
        </w:rPr>
        <w:t xml:space="preserve"> The gap is primarily driven by the high concentration of female employees in the lower quartiles (</w:t>
      </w:r>
      <w:r w:rsidR="000B2DB5">
        <w:rPr>
          <w:rFonts w:ascii="Arial" w:hAnsi="Arial" w:cs="Arial"/>
          <w:szCs w:val="24"/>
        </w:rPr>
        <w:t>74</w:t>
      </w:r>
      <w:r w:rsidRPr="00582F64">
        <w:rPr>
          <w:rFonts w:ascii="Arial" w:hAnsi="Arial" w:cs="Arial"/>
          <w:szCs w:val="24"/>
        </w:rPr>
        <w:t>% female). These roles often include term-time-only support functions (e.g., catering, cleaning), which are traditionally more attractive to women seeking flexible working patterns.</w:t>
      </w:r>
    </w:p>
    <w:p w14:paraId="547E1FFC" w14:textId="48D063F0" w:rsidR="00582F64" w:rsidRPr="00582F64" w:rsidRDefault="00582F64" w:rsidP="00582F64">
      <w:pPr>
        <w:numPr>
          <w:ilvl w:val="0"/>
          <w:numId w:val="3"/>
        </w:numPr>
        <w:spacing w:after="0" w:line="240" w:lineRule="auto"/>
        <w:jc w:val="both"/>
        <w:rPr>
          <w:rFonts w:ascii="Arial" w:hAnsi="Arial" w:cs="Arial"/>
          <w:szCs w:val="24"/>
        </w:rPr>
      </w:pPr>
      <w:r w:rsidRPr="00582F64">
        <w:rPr>
          <w:rFonts w:ascii="Arial" w:hAnsi="Arial" w:cs="Arial"/>
          <w:b/>
          <w:bCs/>
          <w:szCs w:val="24"/>
        </w:rPr>
        <w:t>Senior Parity:</w:t>
      </w:r>
      <w:r w:rsidRPr="00582F64">
        <w:rPr>
          <w:rFonts w:ascii="Arial" w:hAnsi="Arial" w:cs="Arial"/>
          <w:szCs w:val="24"/>
        </w:rPr>
        <w:t xml:space="preserve"> Progress is evident in the Upper Middle and Upper quartiles, where the gender split (</w:t>
      </w:r>
      <w:r w:rsidR="000B2DB5">
        <w:rPr>
          <w:rFonts w:ascii="Arial" w:hAnsi="Arial" w:cs="Arial"/>
          <w:szCs w:val="24"/>
        </w:rPr>
        <w:t>3</w:t>
      </w:r>
      <w:r w:rsidRPr="00582F64">
        <w:rPr>
          <w:rFonts w:ascii="Arial" w:hAnsi="Arial" w:cs="Arial"/>
          <w:szCs w:val="24"/>
        </w:rPr>
        <w:t>4/</w:t>
      </w:r>
      <w:r w:rsidR="000B2DB5">
        <w:rPr>
          <w:rFonts w:ascii="Arial" w:hAnsi="Arial" w:cs="Arial"/>
          <w:szCs w:val="24"/>
        </w:rPr>
        <w:t>46</w:t>
      </w:r>
      <w:r w:rsidRPr="00582F64">
        <w:rPr>
          <w:rFonts w:ascii="Arial" w:hAnsi="Arial" w:cs="Arial"/>
          <w:szCs w:val="24"/>
        </w:rPr>
        <w:t xml:space="preserve"> and 4</w:t>
      </w:r>
      <w:r w:rsidR="000B2DB5">
        <w:rPr>
          <w:rFonts w:ascii="Arial" w:hAnsi="Arial" w:cs="Arial"/>
          <w:szCs w:val="24"/>
        </w:rPr>
        <w:t>0</w:t>
      </w:r>
      <w:r w:rsidRPr="00582F64">
        <w:rPr>
          <w:rFonts w:ascii="Arial" w:hAnsi="Arial" w:cs="Arial"/>
          <w:szCs w:val="24"/>
        </w:rPr>
        <w:t>/</w:t>
      </w:r>
      <w:r w:rsidR="000B2DB5">
        <w:rPr>
          <w:rFonts w:ascii="Arial" w:hAnsi="Arial" w:cs="Arial"/>
          <w:szCs w:val="24"/>
        </w:rPr>
        <w:t>41</w:t>
      </w:r>
      <w:r w:rsidRPr="00582F64">
        <w:rPr>
          <w:rFonts w:ascii="Arial" w:hAnsi="Arial" w:cs="Arial"/>
          <w:szCs w:val="24"/>
        </w:rPr>
        <w:t xml:space="preserve"> respectively) closely mirrors or even </w:t>
      </w:r>
      <w:r w:rsidR="002379C1" w:rsidRPr="00582F64">
        <w:rPr>
          <w:rFonts w:ascii="Arial" w:hAnsi="Arial" w:cs="Arial"/>
          <w:szCs w:val="24"/>
        </w:rPr>
        <w:t>favours</w:t>
      </w:r>
      <w:r w:rsidRPr="00582F64">
        <w:rPr>
          <w:rFonts w:ascii="Arial" w:hAnsi="Arial" w:cs="Arial"/>
          <w:szCs w:val="24"/>
        </w:rPr>
        <w:t xml:space="preserve"> women, reflecting a strong representation of female leaders and senior teachers.</w:t>
      </w:r>
    </w:p>
    <w:p w14:paraId="45C1DCCB" w14:textId="77777777" w:rsidR="00024CC1" w:rsidRPr="00773064" w:rsidRDefault="00024CC1" w:rsidP="00A51739">
      <w:pPr>
        <w:spacing w:after="0" w:line="240" w:lineRule="auto"/>
        <w:jc w:val="both"/>
        <w:rPr>
          <w:rFonts w:ascii="Arial" w:hAnsi="Arial" w:cs="Arial"/>
          <w:szCs w:val="24"/>
        </w:rPr>
      </w:pPr>
    </w:p>
    <w:p w14:paraId="3A088BCC" w14:textId="77777777" w:rsidR="00AD5652" w:rsidRDefault="00AD5652" w:rsidP="00582F64">
      <w:pPr>
        <w:spacing w:after="0" w:line="240" w:lineRule="auto"/>
        <w:jc w:val="both"/>
        <w:rPr>
          <w:rFonts w:ascii="Arial" w:hAnsi="Arial" w:cs="Arial"/>
          <w:szCs w:val="24"/>
        </w:rPr>
      </w:pPr>
    </w:p>
    <w:p w14:paraId="6BD3F580" w14:textId="77777777" w:rsidR="00AD5652" w:rsidRDefault="00AD5652" w:rsidP="00582F64">
      <w:pPr>
        <w:spacing w:after="0" w:line="240" w:lineRule="auto"/>
        <w:jc w:val="both"/>
        <w:rPr>
          <w:rFonts w:ascii="Arial" w:hAnsi="Arial" w:cs="Arial"/>
          <w:szCs w:val="24"/>
        </w:rPr>
      </w:pPr>
    </w:p>
    <w:p w14:paraId="2A95055D" w14:textId="52BE5BC8" w:rsidR="00582F64" w:rsidRPr="00582F64" w:rsidRDefault="00582F64" w:rsidP="00582F64">
      <w:pPr>
        <w:spacing w:after="0" w:line="240" w:lineRule="auto"/>
        <w:jc w:val="both"/>
        <w:rPr>
          <w:rFonts w:ascii="Arial" w:hAnsi="Arial" w:cs="Arial"/>
          <w:szCs w:val="24"/>
        </w:rPr>
      </w:pPr>
      <w:r>
        <w:rPr>
          <w:rFonts w:ascii="Arial" w:hAnsi="Arial" w:cs="Arial"/>
          <w:szCs w:val="24"/>
        </w:rPr>
        <w:lastRenderedPageBreak/>
        <w:t>I</w:t>
      </w:r>
      <w:r w:rsidRPr="00582F64">
        <w:rPr>
          <w:rFonts w:ascii="Arial" w:hAnsi="Arial" w:cs="Arial"/>
          <w:szCs w:val="24"/>
        </w:rPr>
        <w:t xml:space="preserve">n line with best practices and upcoming requirements of the </w:t>
      </w:r>
      <w:r w:rsidRPr="00582F64">
        <w:rPr>
          <w:rFonts w:ascii="Arial" w:hAnsi="Arial" w:cs="Arial"/>
          <w:b/>
          <w:bCs/>
          <w:szCs w:val="24"/>
        </w:rPr>
        <w:t>Employment Rights Act 2025</w:t>
      </w:r>
      <w:r w:rsidRPr="00582F64">
        <w:rPr>
          <w:rFonts w:ascii="Arial" w:hAnsi="Arial" w:cs="Arial"/>
          <w:szCs w:val="24"/>
        </w:rPr>
        <w:t>, WGSF is committed to the following actions:</w:t>
      </w:r>
    </w:p>
    <w:p w14:paraId="164A0985" w14:textId="5F515071" w:rsidR="000A074E" w:rsidRPr="000A074E" w:rsidRDefault="000A074E" w:rsidP="00582F64">
      <w:pPr>
        <w:numPr>
          <w:ilvl w:val="0"/>
          <w:numId w:val="4"/>
        </w:numPr>
        <w:spacing w:after="0" w:line="240" w:lineRule="auto"/>
        <w:jc w:val="both"/>
        <w:rPr>
          <w:rFonts w:ascii="Arial" w:hAnsi="Arial" w:cs="Arial"/>
          <w:b/>
          <w:bCs/>
          <w:szCs w:val="24"/>
        </w:rPr>
      </w:pPr>
      <w:r w:rsidRPr="002379C1">
        <w:rPr>
          <w:rFonts w:ascii="Arial" w:hAnsi="Arial" w:cs="Arial"/>
          <w:b/>
          <w:bCs/>
          <w:szCs w:val="24"/>
        </w:rPr>
        <w:t>fair and equitable remuneration and reward</w:t>
      </w:r>
      <w:r>
        <w:rPr>
          <w:rFonts w:ascii="Arial" w:hAnsi="Arial" w:cs="Arial"/>
          <w:b/>
          <w:bCs/>
          <w:szCs w:val="24"/>
        </w:rPr>
        <w:t xml:space="preserve">: </w:t>
      </w:r>
      <w:r>
        <w:rPr>
          <w:rFonts w:ascii="Arial" w:hAnsi="Arial" w:cs="Arial"/>
          <w:szCs w:val="24"/>
        </w:rPr>
        <w:t>The F</w:t>
      </w:r>
      <w:r w:rsidR="00F95971">
        <w:rPr>
          <w:rFonts w:ascii="Arial" w:hAnsi="Arial" w:cs="Arial"/>
          <w:szCs w:val="24"/>
        </w:rPr>
        <w:t>o</w:t>
      </w:r>
      <w:r>
        <w:rPr>
          <w:rFonts w:ascii="Arial" w:hAnsi="Arial" w:cs="Arial"/>
          <w:szCs w:val="24"/>
        </w:rPr>
        <w:t>undation remains committed to fair and equitable remuneration and reward and that this is reflected in our policies and practices.</w:t>
      </w:r>
    </w:p>
    <w:p w14:paraId="31FB91DC" w14:textId="6B863271" w:rsidR="00582F64" w:rsidRPr="00582F64" w:rsidRDefault="00582F64" w:rsidP="00582F64">
      <w:pPr>
        <w:numPr>
          <w:ilvl w:val="0"/>
          <w:numId w:val="4"/>
        </w:numPr>
        <w:spacing w:after="0" w:line="240" w:lineRule="auto"/>
        <w:jc w:val="both"/>
        <w:rPr>
          <w:rFonts w:ascii="Arial" w:hAnsi="Arial" w:cs="Arial"/>
          <w:szCs w:val="24"/>
        </w:rPr>
      </w:pPr>
      <w:r w:rsidRPr="00582F64">
        <w:rPr>
          <w:rFonts w:ascii="Arial" w:hAnsi="Arial" w:cs="Arial"/>
          <w:b/>
          <w:bCs/>
          <w:szCs w:val="24"/>
        </w:rPr>
        <w:t>Recruitment:</w:t>
      </w:r>
      <w:r w:rsidRPr="00582F64">
        <w:rPr>
          <w:rFonts w:ascii="Arial" w:hAnsi="Arial" w:cs="Arial"/>
          <w:szCs w:val="24"/>
        </w:rPr>
        <w:t xml:space="preserve"> We will continue to review our job advertisements to ensure gender-neutral language and promote flexible working for all roles to attract a diverse candidate pool.</w:t>
      </w:r>
    </w:p>
    <w:p w14:paraId="1B176CEE" w14:textId="77777777" w:rsidR="00582F64" w:rsidRPr="00582F64" w:rsidRDefault="00582F64" w:rsidP="00582F64">
      <w:pPr>
        <w:numPr>
          <w:ilvl w:val="0"/>
          <w:numId w:val="4"/>
        </w:numPr>
        <w:spacing w:after="0" w:line="240" w:lineRule="auto"/>
        <w:jc w:val="both"/>
        <w:rPr>
          <w:rFonts w:ascii="Arial" w:hAnsi="Arial" w:cs="Arial"/>
          <w:szCs w:val="24"/>
        </w:rPr>
      </w:pPr>
      <w:r w:rsidRPr="00582F64">
        <w:rPr>
          <w:rFonts w:ascii="Arial" w:hAnsi="Arial" w:cs="Arial"/>
          <w:b/>
          <w:bCs/>
          <w:szCs w:val="24"/>
        </w:rPr>
        <w:t>Professional Development:</w:t>
      </w:r>
      <w:r w:rsidRPr="00582F64">
        <w:rPr>
          <w:rFonts w:ascii="Arial" w:hAnsi="Arial" w:cs="Arial"/>
          <w:szCs w:val="24"/>
        </w:rPr>
        <w:t xml:space="preserve"> We provide equal access to CPD for both teaching and support staff to encourage internal progression into higher pay quartiles.</w:t>
      </w:r>
    </w:p>
    <w:p w14:paraId="6C9611DD" w14:textId="77777777" w:rsidR="00024CC1" w:rsidRPr="00773064" w:rsidRDefault="00024CC1" w:rsidP="00A51739">
      <w:pPr>
        <w:spacing w:after="0" w:line="240" w:lineRule="auto"/>
        <w:jc w:val="both"/>
        <w:rPr>
          <w:rFonts w:ascii="Arial" w:hAnsi="Arial" w:cs="Arial"/>
          <w:szCs w:val="24"/>
        </w:rPr>
      </w:pPr>
    </w:p>
    <w:p w14:paraId="03C3A157" w14:textId="77777777" w:rsidR="000A074E" w:rsidRDefault="000A074E" w:rsidP="00A51739">
      <w:pPr>
        <w:spacing w:after="0" w:line="240" w:lineRule="auto"/>
        <w:jc w:val="both"/>
        <w:rPr>
          <w:rFonts w:ascii="Arial" w:hAnsi="Arial" w:cs="Arial"/>
          <w:szCs w:val="24"/>
        </w:rPr>
      </w:pPr>
    </w:p>
    <w:p w14:paraId="00CA2755" w14:textId="77777777" w:rsidR="00582F64" w:rsidRPr="002379C1" w:rsidRDefault="00582F64" w:rsidP="00582F64">
      <w:pPr>
        <w:spacing w:after="0" w:line="240" w:lineRule="auto"/>
        <w:rPr>
          <w:rFonts w:ascii="Arial" w:hAnsi="Arial" w:cs="Arial"/>
          <w:b/>
          <w:bCs/>
          <w:szCs w:val="24"/>
        </w:rPr>
      </w:pPr>
      <w:r w:rsidRPr="002379C1">
        <w:rPr>
          <w:rFonts w:ascii="Arial" w:hAnsi="Arial" w:cs="Arial"/>
          <w:b/>
          <w:bCs/>
          <w:szCs w:val="24"/>
        </w:rPr>
        <w:t>Statutory Statement of Accuracy</w:t>
      </w:r>
    </w:p>
    <w:p w14:paraId="66538F84" w14:textId="77777777" w:rsidR="00582F64" w:rsidRPr="002379C1" w:rsidRDefault="00582F64" w:rsidP="00582F64">
      <w:pPr>
        <w:spacing w:after="0" w:line="240" w:lineRule="auto"/>
        <w:rPr>
          <w:rFonts w:ascii="Arial" w:hAnsi="Arial" w:cs="Arial"/>
          <w:szCs w:val="24"/>
        </w:rPr>
      </w:pPr>
      <w:r w:rsidRPr="002379C1">
        <w:rPr>
          <w:rFonts w:ascii="Arial" w:hAnsi="Arial" w:cs="Arial"/>
          <w:szCs w:val="24"/>
        </w:rPr>
        <w:t>I confirm that the gender pay gap data contained in this report is accurate and has been calculated in accordance with the requirements of the Equality Act 2010 (Gender Pay Gap Information) Regulations 2017.</w:t>
      </w:r>
    </w:p>
    <w:p w14:paraId="2468ED86" w14:textId="77777777" w:rsidR="00024CC1" w:rsidRPr="00773064" w:rsidRDefault="00024CC1" w:rsidP="00024CC1">
      <w:pPr>
        <w:spacing w:after="0" w:line="240" w:lineRule="auto"/>
        <w:rPr>
          <w:rFonts w:ascii="Arial" w:hAnsi="Arial" w:cs="Arial"/>
          <w:color w:val="FF0000"/>
          <w:szCs w:val="24"/>
        </w:rPr>
      </w:pPr>
    </w:p>
    <w:p w14:paraId="39113323" w14:textId="77777777" w:rsidR="00E13390" w:rsidRDefault="00E13390" w:rsidP="00024CC1">
      <w:pPr>
        <w:spacing w:after="0" w:line="240" w:lineRule="auto"/>
        <w:rPr>
          <w:rFonts w:ascii="Arial" w:hAnsi="Arial" w:cs="Arial"/>
          <w:szCs w:val="24"/>
        </w:rPr>
      </w:pPr>
    </w:p>
    <w:p w14:paraId="63E39630" w14:textId="77777777" w:rsidR="00C77539" w:rsidRDefault="00C77539" w:rsidP="00024CC1">
      <w:pPr>
        <w:spacing w:after="0" w:line="240" w:lineRule="auto"/>
        <w:rPr>
          <w:rFonts w:ascii="Arial" w:hAnsi="Arial" w:cs="Arial"/>
          <w:szCs w:val="24"/>
        </w:rPr>
      </w:pPr>
    </w:p>
    <w:p w14:paraId="2D058C6D" w14:textId="77777777" w:rsidR="00C77539" w:rsidRDefault="00C52EF9" w:rsidP="00024CC1">
      <w:pPr>
        <w:spacing w:after="0" w:line="240" w:lineRule="auto"/>
        <w:rPr>
          <w:rFonts w:ascii="Arial" w:hAnsi="Arial" w:cs="Arial"/>
          <w:szCs w:val="24"/>
        </w:rPr>
      </w:pPr>
      <w:r>
        <w:rPr>
          <w:rFonts w:ascii="Arial" w:hAnsi="Arial" w:cs="Arial"/>
          <w:noProof/>
          <w:lang w:eastAsia="en-GB"/>
        </w:rPr>
        <w:drawing>
          <wp:inline distT="0" distB="0" distL="0" distR="0" wp14:anchorId="1EC9F843" wp14:editId="4545EE2B">
            <wp:extent cx="1485900" cy="493686"/>
            <wp:effectExtent l="0" t="0" r="0" b="1905"/>
            <wp:docPr id="2" name="Picture 2" descr="C:\Users\JGolby.WGSF.011\AppData\Local\Microsoft\Windows\INetCache\Content.MSO\1829A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olby.WGSF.011\AppData\Local\Microsoft\Windows\INetCache\Content.MSO\1829AF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6066" cy="500386"/>
                    </a:xfrm>
                    <a:prstGeom prst="rect">
                      <a:avLst/>
                    </a:prstGeom>
                    <a:noFill/>
                    <a:ln>
                      <a:noFill/>
                    </a:ln>
                  </pic:spPr>
                </pic:pic>
              </a:graphicData>
            </a:graphic>
          </wp:inline>
        </w:drawing>
      </w:r>
    </w:p>
    <w:p w14:paraId="48E8F508" w14:textId="77777777" w:rsidR="00C77539" w:rsidRPr="00773064" w:rsidRDefault="00C77539" w:rsidP="00024CC1">
      <w:pPr>
        <w:spacing w:after="0" w:line="240" w:lineRule="auto"/>
        <w:rPr>
          <w:rFonts w:ascii="Arial" w:hAnsi="Arial" w:cs="Arial"/>
          <w:szCs w:val="24"/>
        </w:rPr>
      </w:pPr>
    </w:p>
    <w:p w14:paraId="2C0D2008" w14:textId="77777777" w:rsidR="00E13390" w:rsidRPr="00773064" w:rsidRDefault="00C77539" w:rsidP="00024CC1">
      <w:pPr>
        <w:spacing w:after="0" w:line="240" w:lineRule="auto"/>
        <w:rPr>
          <w:rFonts w:ascii="Arial" w:hAnsi="Arial" w:cs="Arial"/>
          <w:b/>
          <w:szCs w:val="24"/>
        </w:rPr>
      </w:pPr>
      <w:r>
        <w:rPr>
          <w:rFonts w:ascii="Arial" w:hAnsi="Arial" w:cs="Arial"/>
          <w:b/>
          <w:szCs w:val="24"/>
        </w:rPr>
        <w:t>Jenny Cocker</w:t>
      </w:r>
    </w:p>
    <w:p w14:paraId="0E928A82" w14:textId="77777777" w:rsidR="00E13390" w:rsidRPr="00773064" w:rsidRDefault="00443F7A" w:rsidP="00024CC1">
      <w:pPr>
        <w:spacing w:after="0" w:line="240" w:lineRule="auto"/>
        <w:rPr>
          <w:rFonts w:ascii="Arial" w:hAnsi="Arial" w:cs="Arial"/>
          <w:b/>
          <w:szCs w:val="24"/>
        </w:rPr>
      </w:pPr>
      <w:r>
        <w:rPr>
          <w:rFonts w:ascii="Arial" w:hAnsi="Arial" w:cs="Arial"/>
          <w:b/>
          <w:szCs w:val="24"/>
        </w:rPr>
        <w:t>Director of Finance &amp; Operations</w:t>
      </w:r>
    </w:p>
    <w:p w14:paraId="26D8482A" w14:textId="77777777" w:rsidR="00E13390" w:rsidRPr="009F14BF" w:rsidRDefault="00E13390" w:rsidP="00024CC1">
      <w:pPr>
        <w:spacing w:after="0" w:line="240" w:lineRule="auto"/>
        <w:rPr>
          <w:rFonts w:ascii="Arial" w:hAnsi="Arial" w:cs="Arial"/>
          <w:szCs w:val="24"/>
        </w:rPr>
      </w:pPr>
    </w:p>
    <w:p w14:paraId="525529CE" w14:textId="205CC302" w:rsidR="006F70A9" w:rsidRDefault="00C77539" w:rsidP="00024CC1">
      <w:pPr>
        <w:spacing w:after="0" w:line="240" w:lineRule="auto"/>
        <w:rPr>
          <w:rFonts w:ascii="Arial" w:hAnsi="Arial" w:cs="Arial"/>
          <w:szCs w:val="24"/>
        </w:rPr>
      </w:pPr>
      <w:r>
        <w:rPr>
          <w:rFonts w:ascii="Arial" w:hAnsi="Arial" w:cs="Arial"/>
          <w:szCs w:val="24"/>
        </w:rPr>
        <w:t>March 202</w:t>
      </w:r>
      <w:r w:rsidR="002165A9">
        <w:rPr>
          <w:rFonts w:ascii="Arial" w:hAnsi="Arial" w:cs="Arial"/>
          <w:szCs w:val="24"/>
        </w:rPr>
        <w:t>6</w:t>
      </w:r>
    </w:p>
    <w:p w14:paraId="2831A6AB" w14:textId="77777777" w:rsidR="00C77539" w:rsidRDefault="00C77539" w:rsidP="00024CC1">
      <w:pPr>
        <w:spacing w:after="0" w:line="240" w:lineRule="auto"/>
        <w:rPr>
          <w:rFonts w:ascii="Arial" w:hAnsi="Arial" w:cs="Arial"/>
          <w:szCs w:val="24"/>
        </w:rPr>
      </w:pPr>
    </w:p>
    <w:p w14:paraId="3C46B596" w14:textId="77777777" w:rsidR="00ED4AD0" w:rsidRPr="009F14BF" w:rsidRDefault="00ED4AD0" w:rsidP="00024CC1">
      <w:pPr>
        <w:spacing w:after="0" w:line="240" w:lineRule="auto"/>
        <w:rPr>
          <w:rFonts w:ascii="Arial" w:hAnsi="Arial" w:cs="Arial"/>
          <w:szCs w:val="24"/>
        </w:rPr>
      </w:pPr>
    </w:p>
    <w:sectPr w:rsidR="00ED4AD0" w:rsidRPr="009F14BF" w:rsidSect="009456F5">
      <w:headerReference w:type="even" r:id="rId11"/>
      <w:headerReference w:type="default" r:id="rId12"/>
      <w:footerReference w:type="even" r:id="rId13"/>
      <w:footerReference w:type="default" r:id="rId14"/>
      <w:headerReference w:type="first" r:id="rId15"/>
      <w:footerReference w:type="first" r:id="rId16"/>
      <w:pgSz w:w="11906" w:h="16838"/>
      <w:pgMar w:top="720" w:right="964" w:bottom="72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636ED" w14:textId="77777777" w:rsidR="003F7CDE" w:rsidRDefault="003F7CDE" w:rsidP="003F7CDE">
      <w:pPr>
        <w:spacing w:after="0" w:line="240" w:lineRule="auto"/>
      </w:pPr>
      <w:r>
        <w:separator/>
      </w:r>
    </w:p>
  </w:endnote>
  <w:endnote w:type="continuationSeparator" w:id="0">
    <w:p w14:paraId="2B21B25F" w14:textId="77777777" w:rsidR="003F7CDE" w:rsidRDefault="003F7CDE" w:rsidP="003F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C8C5" w14:textId="77777777" w:rsidR="009133DA" w:rsidRDefault="00913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441232"/>
      <w:docPartObj>
        <w:docPartGallery w:val="Page Numbers (Bottom of Page)"/>
        <w:docPartUnique/>
      </w:docPartObj>
    </w:sdtPr>
    <w:sdtEndPr>
      <w:rPr>
        <w:noProof/>
      </w:rPr>
    </w:sdtEndPr>
    <w:sdtContent>
      <w:p w14:paraId="773EC4C2" w14:textId="0726C054" w:rsidR="00C55DF1" w:rsidRDefault="00C55DF1">
        <w:pPr>
          <w:pStyle w:val="Footer"/>
          <w:jc w:val="center"/>
        </w:pPr>
        <w:r>
          <w:fldChar w:fldCharType="begin"/>
        </w:r>
        <w:r>
          <w:instrText xml:space="preserve"> PAGE   \* MERGEFORMAT </w:instrText>
        </w:r>
        <w:r>
          <w:fldChar w:fldCharType="separate"/>
        </w:r>
        <w:r w:rsidR="003C20F8">
          <w:rPr>
            <w:noProof/>
          </w:rPr>
          <w:t>2</w:t>
        </w:r>
        <w:r>
          <w:rPr>
            <w:noProof/>
          </w:rPr>
          <w:fldChar w:fldCharType="end"/>
        </w:r>
      </w:p>
    </w:sdtContent>
  </w:sdt>
  <w:p w14:paraId="3E0F3E23" w14:textId="77777777" w:rsidR="00C55DF1" w:rsidRDefault="00C55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6CE3" w14:textId="77777777" w:rsidR="009133DA" w:rsidRDefault="00913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ABEF" w14:textId="77777777" w:rsidR="003F7CDE" w:rsidRDefault="003F7CDE" w:rsidP="003F7CDE">
      <w:pPr>
        <w:spacing w:after="0" w:line="240" w:lineRule="auto"/>
      </w:pPr>
      <w:r>
        <w:separator/>
      </w:r>
    </w:p>
  </w:footnote>
  <w:footnote w:type="continuationSeparator" w:id="0">
    <w:p w14:paraId="6C3DBB0C" w14:textId="77777777" w:rsidR="003F7CDE" w:rsidRDefault="003F7CDE" w:rsidP="003F7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4D98" w14:textId="77777777" w:rsidR="009133DA" w:rsidRDefault="00913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2E93" w14:textId="77777777" w:rsidR="009133DA" w:rsidRDefault="009133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39D3" w14:textId="77777777" w:rsidR="009133DA" w:rsidRDefault="00913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6AE1"/>
    <w:multiLevelType w:val="multilevel"/>
    <w:tmpl w:val="EC5E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92CD6"/>
    <w:multiLevelType w:val="multilevel"/>
    <w:tmpl w:val="7092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52555"/>
    <w:multiLevelType w:val="hybridMultilevel"/>
    <w:tmpl w:val="E370E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76452789">
    <w:abstractNumId w:val="2"/>
  </w:num>
  <w:num w:numId="2" w16cid:durableId="1748073894">
    <w:abstractNumId w:val="2"/>
  </w:num>
  <w:num w:numId="3" w16cid:durableId="199057526">
    <w:abstractNumId w:val="1"/>
  </w:num>
  <w:num w:numId="4" w16cid:durableId="5736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8D"/>
    <w:rsid w:val="00010CEE"/>
    <w:rsid w:val="00015E0F"/>
    <w:rsid w:val="00024CC1"/>
    <w:rsid w:val="000344B4"/>
    <w:rsid w:val="00046494"/>
    <w:rsid w:val="00070FE6"/>
    <w:rsid w:val="000869F4"/>
    <w:rsid w:val="0009726A"/>
    <w:rsid w:val="00097EEA"/>
    <w:rsid w:val="000A074E"/>
    <w:rsid w:val="000B0EE4"/>
    <w:rsid w:val="000B2DB5"/>
    <w:rsid w:val="000C7512"/>
    <w:rsid w:val="000E0964"/>
    <w:rsid w:val="000E7EEA"/>
    <w:rsid w:val="000F2993"/>
    <w:rsid w:val="001073F4"/>
    <w:rsid w:val="00110B35"/>
    <w:rsid w:val="00112C32"/>
    <w:rsid w:val="001269A6"/>
    <w:rsid w:val="00133D1F"/>
    <w:rsid w:val="00152702"/>
    <w:rsid w:val="001632FB"/>
    <w:rsid w:val="00165FD6"/>
    <w:rsid w:val="00175056"/>
    <w:rsid w:val="00180393"/>
    <w:rsid w:val="001871CB"/>
    <w:rsid w:val="001A3BA0"/>
    <w:rsid w:val="001B231F"/>
    <w:rsid w:val="001C0B9A"/>
    <w:rsid w:val="001E4B9E"/>
    <w:rsid w:val="001F3518"/>
    <w:rsid w:val="002165A9"/>
    <w:rsid w:val="0022072C"/>
    <w:rsid w:val="002379C1"/>
    <w:rsid w:val="00252DD2"/>
    <w:rsid w:val="00254789"/>
    <w:rsid w:val="00267B0E"/>
    <w:rsid w:val="0027499E"/>
    <w:rsid w:val="0029100A"/>
    <w:rsid w:val="002C0742"/>
    <w:rsid w:val="002C190C"/>
    <w:rsid w:val="002C2E89"/>
    <w:rsid w:val="002E6CC6"/>
    <w:rsid w:val="002F0E6E"/>
    <w:rsid w:val="002F669B"/>
    <w:rsid w:val="00361E43"/>
    <w:rsid w:val="003704CB"/>
    <w:rsid w:val="0037381B"/>
    <w:rsid w:val="00376387"/>
    <w:rsid w:val="003C20F8"/>
    <w:rsid w:val="003F6A95"/>
    <w:rsid w:val="003F7CDE"/>
    <w:rsid w:val="00402903"/>
    <w:rsid w:val="0042602C"/>
    <w:rsid w:val="00443F7A"/>
    <w:rsid w:val="00477D4B"/>
    <w:rsid w:val="00495FB9"/>
    <w:rsid w:val="004F2FF3"/>
    <w:rsid w:val="004F7A86"/>
    <w:rsid w:val="005039E0"/>
    <w:rsid w:val="00504535"/>
    <w:rsid w:val="005051D3"/>
    <w:rsid w:val="005260D5"/>
    <w:rsid w:val="00531CEF"/>
    <w:rsid w:val="00532D0F"/>
    <w:rsid w:val="005401CB"/>
    <w:rsid w:val="005613B9"/>
    <w:rsid w:val="00566C25"/>
    <w:rsid w:val="00582F64"/>
    <w:rsid w:val="005B19D1"/>
    <w:rsid w:val="005D0803"/>
    <w:rsid w:val="005E4CE1"/>
    <w:rsid w:val="0060657B"/>
    <w:rsid w:val="006168AA"/>
    <w:rsid w:val="00617A5B"/>
    <w:rsid w:val="0062100E"/>
    <w:rsid w:val="006262B5"/>
    <w:rsid w:val="006313F2"/>
    <w:rsid w:val="00635927"/>
    <w:rsid w:val="00646203"/>
    <w:rsid w:val="00647A33"/>
    <w:rsid w:val="00661388"/>
    <w:rsid w:val="00664A10"/>
    <w:rsid w:val="00670AF5"/>
    <w:rsid w:val="00682E41"/>
    <w:rsid w:val="006857F5"/>
    <w:rsid w:val="00694881"/>
    <w:rsid w:val="006B03CC"/>
    <w:rsid w:val="006C51CE"/>
    <w:rsid w:val="006D41C6"/>
    <w:rsid w:val="006F70A9"/>
    <w:rsid w:val="007157E1"/>
    <w:rsid w:val="00716A11"/>
    <w:rsid w:val="0072604C"/>
    <w:rsid w:val="00730392"/>
    <w:rsid w:val="00744666"/>
    <w:rsid w:val="00753BF5"/>
    <w:rsid w:val="007715EF"/>
    <w:rsid w:val="00773064"/>
    <w:rsid w:val="00780540"/>
    <w:rsid w:val="007903A0"/>
    <w:rsid w:val="007D0580"/>
    <w:rsid w:val="007F4F66"/>
    <w:rsid w:val="008004B1"/>
    <w:rsid w:val="00804154"/>
    <w:rsid w:val="0081039F"/>
    <w:rsid w:val="008168E6"/>
    <w:rsid w:val="008227B3"/>
    <w:rsid w:val="00830072"/>
    <w:rsid w:val="0087454D"/>
    <w:rsid w:val="0088640A"/>
    <w:rsid w:val="008F7B99"/>
    <w:rsid w:val="009133DA"/>
    <w:rsid w:val="009456F5"/>
    <w:rsid w:val="00950CFB"/>
    <w:rsid w:val="00967768"/>
    <w:rsid w:val="0097029A"/>
    <w:rsid w:val="00992048"/>
    <w:rsid w:val="009A2E54"/>
    <w:rsid w:val="009C68CB"/>
    <w:rsid w:val="009E5A5B"/>
    <w:rsid w:val="009E5B91"/>
    <w:rsid w:val="009F14BF"/>
    <w:rsid w:val="00A00406"/>
    <w:rsid w:val="00A03CF2"/>
    <w:rsid w:val="00A479DC"/>
    <w:rsid w:val="00A51739"/>
    <w:rsid w:val="00A60458"/>
    <w:rsid w:val="00A72F08"/>
    <w:rsid w:val="00A847FE"/>
    <w:rsid w:val="00AA3378"/>
    <w:rsid w:val="00AC2B25"/>
    <w:rsid w:val="00AC5403"/>
    <w:rsid w:val="00AD5652"/>
    <w:rsid w:val="00AE6C0C"/>
    <w:rsid w:val="00B05489"/>
    <w:rsid w:val="00B21E86"/>
    <w:rsid w:val="00B23D4C"/>
    <w:rsid w:val="00B23D55"/>
    <w:rsid w:val="00B272A3"/>
    <w:rsid w:val="00B42032"/>
    <w:rsid w:val="00B47640"/>
    <w:rsid w:val="00B5501A"/>
    <w:rsid w:val="00B57859"/>
    <w:rsid w:val="00BC3177"/>
    <w:rsid w:val="00BE4EAE"/>
    <w:rsid w:val="00BE6D00"/>
    <w:rsid w:val="00BF0A39"/>
    <w:rsid w:val="00BF229F"/>
    <w:rsid w:val="00C067E0"/>
    <w:rsid w:val="00C13667"/>
    <w:rsid w:val="00C16294"/>
    <w:rsid w:val="00C263BC"/>
    <w:rsid w:val="00C31E2C"/>
    <w:rsid w:val="00C40F94"/>
    <w:rsid w:val="00C52EF9"/>
    <w:rsid w:val="00C55DF1"/>
    <w:rsid w:val="00C75E09"/>
    <w:rsid w:val="00C77539"/>
    <w:rsid w:val="00C86D62"/>
    <w:rsid w:val="00C96D6E"/>
    <w:rsid w:val="00D047B2"/>
    <w:rsid w:val="00D1509C"/>
    <w:rsid w:val="00D16508"/>
    <w:rsid w:val="00D80D41"/>
    <w:rsid w:val="00D85BAA"/>
    <w:rsid w:val="00D864E0"/>
    <w:rsid w:val="00DA597F"/>
    <w:rsid w:val="00DA616A"/>
    <w:rsid w:val="00DA7726"/>
    <w:rsid w:val="00DB0C77"/>
    <w:rsid w:val="00DF1C20"/>
    <w:rsid w:val="00DF4A39"/>
    <w:rsid w:val="00E11603"/>
    <w:rsid w:val="00E13390"/>
    <w:rsid w:val="00E261EA"/>
    <w:rsid w:val="00E40B53"/>
    <w:rsid w:val="00E44FCD"/>
    <w:rsid w:val="00E52641"/>
    <w:rsid w:val="00E8398D"/>
    <w:rsid w:val="00EC43D8"/>
    <w:rsid w:val="00ED4AD0"/>
    <w:rsid w:val="00EE695F"/>
    <w:rsid w:val="00EF351F"/>
    <w:rsid w:val="00F015A2"/>
    <w:rsid w:val="00F02778"/>
    <w:rsid w:val="00F06CB0"/>
    <w:rsid w:val="00F1367C"/>
    <w:rsid w:val="00F1531E"/>
    <w:rsid w:val="00F42CD8"/>
    <w:rsid w:val="00F52592"/>
    <w:rsid w:val="00F81D99"/>
    <w:rsid w:val="00F9332C"/>
    <w:rsid w:val="00F95971"/>
    <w:rsid w:val="00FA4EEB"/>
    <w:rsid w:val="00FB2DAA"/>
    <w:rsid w:val="00FB2DD5"/>
    <w:rsid w:val="00FC0429"/>
    <w:rsid w:val="00FC0926"/>
    <w:rsid w:val="00FC3505"/>
    <w:rsid w:val="00FE4E8D"/>
    <w:rsid w:val="00FF2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9F9B626"/>
  <w15:docId w15:val="{C3C3D9DD-7BCB-4DCB-98DD-1503F988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98D"/>
    <w:rPr>
      <w:rFonts w:ascii="Tahoma" w:hAnsi="Tahoma" w:cs="Tahoma"/>
      <w:sz w:val="16"/>
      <w:szCs w:val="16"/>
    </w:rPr>
  </w:style>
  <w:style w:type="paragraph" w:styleId="ListParagraph">
    <w:name w:val="List Paragraph"/>
    <w:basedOn w:val="Normal"/>
    <w:uiPriority w:val="34"/>
    <w:qFormat/>
    <w:rsid w:val="00E13390"/>
    <w:pPr>
      <w:spacing w:after="160" w:line="256" w:lineRule="auto"/>
      <w:ind w:left="720"/>
      <w:contextualSpacing/>
    </w:pPr>
  </w:style>
  <w:style w:type="table" w:styleId="TableGrid">
    <w:name w:val="Table Grid"/>
    <w:basedOn w:val="TableNormal"/>
    <w:uiPriority w:val="59"/>
    <w:rsid w:val="00F93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7C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CDE"/>
  </w:style>
  <w:style w:type="paragraph" w:styleId="Footer">
    <w:name w:val="footer"/>
    <w:basedOn w:val="Normal"/>
    <w:link w:val="FooterChar"/>
    <w:uiPriority w:val="99"/>
    <w:unhideWhenUsed/>
    <w:rsid w:val="003F7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CDE"/>
  </w:style>
  <w:style w:type="character" w:styleId="CommentReference">
    <w:name w:val="annotation reference"/>
    <w:basedOn w:val="DefaultParagraphFont"/>
    <w:uiPriority w:val="99"/>
    <w:semiHidden/>
    <w:unhideWhenUsed/>
    <w:rsid w:val="00682E41"/>
    <w:rPr>
      <w:sz w:val="16"/>
      <w:szCs w:val="16"/>
    </w:rPr>
  </w:style>
  <w:style w:type="paragraph" w:styleId="CommentText">
    <w:name w:val="annotation text"/>
    <w:basedOn w:val="Normal"/>
    <w:link w:val="CommentTextChar"/>
    <w:uiPriority w:val="99"/>
    <w:semiHidden/>
    <w:unhideWhenUsed/>
    <w:rsid w:val="00682E41"/>
    <w:pPr>
      <w:spacing w:line="240" w:lineRule="auto"/>
    </w:pPr>
    <w:rPr>
      <w:sz w:val="20"/>
      <w:szCs w:val="20"/>
    </w:rPr>
  </w:style>
  <w:style w:type="character" w:customStyle="1" w:styleId="CommentTextChar">
    <w:name w:val="Comment Text Char"/>
    <w:basedOn w:val="DefaultParagraphFont"/>
    <w:link w:val="CommentText"/>
    <w:uiPriority w:val="99"/>
    <w:semiHidden/>
    <w:rsid w:val="00682E41"/>
    <w:rPr>
      <w:sz w:val="20"/>
      <w:szCs w:val="20"/>
    </w:rPr>
  </w:style>
  <w:style w:type="paragraph" w:styleId="CommentSubject">
    <w:name w:val="annotation subject"/>
    <w:basedOn w:val="CommentText"/>
    <w:next w:val="CommentText"/>
    <w:link w:val="CommentSubjectChar"/>
    <w:uiPriority w:val="99"/>
    <w:semiHidden/>
    <w:unhideWhenUsed/>
    <w:rsid w:val="00682E41"/>
    <w:rPr>
      <w:b/>
      <w:bCs/>
    </w:rPr>
  </w:style>
  <w:style w:type="character" w:customStyle="1" w:styleId="CommentSubjectChar">
    <w:name w:val="Comment Subject Char"/>
    <w:basedOn w:val="CommentTextChar"/>
    <w:link w:val="CommentSubject"/>
    <w:uiPriority w:val="99"/>
    <w:semiHidden/>
    <w:rsid w:val="00682E41"/>
    <w:rPr>
      <w:b/>
      <w:bCs/>
      <w:sz w:val="20"/>
      <w:szCs w:val="20"/>
    </w:rPr>
  </w:style>
  <w:style w:type="paragraph" w:styleId="Revision">
    <w:name w:val="Revision"/>
    <w:hidden/>
    <w:uiPriority w:val="99"/>
    <w:semiHidden/>
    <w:rsid w:val="00582F64"/>
    <w:pPr>
      <w:spacing w:after="0" w:line="240" w:lineRule="auto"/>
    </w:pPr>
  </w:style>
  <w:style w:type="paragraph" w:styleId="NormalWeb">
    <w:name w:val="Normal (Web)"/>
    <w:basedOn w:val="Normal"/>
    <w:uiPriority w:val="99"/>
    <w:semiHidden/>
    <w:unhideWhenUsed/>
    <w:rsid w:val="00582F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30922">
      <w:bodyDiv w:val="1"/>
      <w:marLeft w:val="0"/>
      <w:marRight w:val="0"/>
      <w:marTop w:val="0"/>
      <w:marBottom w:val="0"/>
      <w:divBdr>
        <w:top w:val="none" w:sz="0" w:space="0" w:color="auto"/>
        <w:left w:val="none" w:sz="0" w:space="0" w:color="auto"/>
        <w:bottom w:val="none" w:sz="0" w:space="0" w:color="auto"/>
        <w:right w:val="none" w:sz="0" w:space="0" w:color="auto"/>
      </w:divBdr>
    </w:div>
    <w:div w:id="332687224">
      <w:bodyDiv w:val="1"/>
      <w:marLeft w:val="0"/>
      <w:marRight w:val="0"/>
      <w:marTop w:val="0"/>
      <w:marBottom w:val="0"/>
      <w:divBdr>
        <w:top w:val="none" w:sz="0" w:space="0" w:color="auto"/>
        <w:left w:val="none" w:sz="0" w:space="0" w:color="auto"/>
        <w:bottom w:val="none" w:sz="0" w:space="0" w:color="auto"/>
        <w:right w:val="none" w:sz="0" w:space="0" w:color="auto"/>
      </w:divBdr>
    </w:div>
    <w:div w:id="338775639">
      <w:bodyDiv w:val="1"/>
      <w:marLeft w:val="0"/>
      <w:marRight w:val="0"/>
      <w:marTop w:val="0"/>
      <w:marBottom w:val="0"/>
      <w:divBdr>
        <w:top w:val="none" w:sz="0" w:space="0" w:color="auto"/>
        <w:left w:val="none" w:sz="0" w:space="0" w:color="auto"/>
        <w:bottom w:val="none" w:sz="0" w:space="0" w:color="auto"/>
        <w:right w:val="none" w:sz="0" w:space="0" w:color="auto"/>
      </w:divBdr>
    </w:div>
    <w:div w:id="734163441">
      <w:bodyDiv w:val="1"/>
      <w:marLeft w:val="0"/>
      <w:marRight w:val="0"/>
      <w:marTop w:val="0"/>
      <w:marBottom w:val="0"/>
      <w:divBdr>
        <w:top w:val="none" w:sz="0" w:space="0" w:color="auto"/>
        <w:left w:val="none" w:sz="0" w:space="0" w:color="auto"/>
        <w:bottom w:val="none" w:sz="0" w:space="0" w:color="auto"/>
        <w:right w:val="none" w:sz="0" w:space="0" w:color="auto"/>
      </w:divBdr>
    </w:div>
    <w:div w:id="990447804">
      <w:bodyDiv w:val="1"/>
      <w:marLeft w:val="0"/>
      <w:marRight w:val="0"/>
      <w:marTop w:val="0"/>
      <w:marBottom w:val="0"/>
      <w:divBdr>
        <w:top w:val="none" w:sz="0" w:space="0" w:color="auto"/>
        <w:left w:val="none" w:sz="0" w:space="0" w:color="auto"/>
        <w:bottom w:val="none" w:sz="0" w:space="0" w:color="auto"/>
        <w:right w:val="none" w:sz="0" w:space="0" w:color="auto"/>
      </w:divBdr>
    </w:div>
    <w:div w:id="1032463673">
      <w:bodyDiv w:val="1"/>
      <w:marLeft w:val="0"/>
      <w:marRight w:val="0"/>
      <w:marTop w:val="0"/>
      <w:marBottom w:val="0"/>
      <w:divBdr>
        <w:top w:val="none" w:sz="0" w:space="0" w:color="auto"/>
        <w:left w:val="none" w:sz="0" w:space="0" w:color="auto"/>
        <w:bottom w:val="none" w:sz="0" w:space="0" w:color="auto"/>
        <w:right w:val="none" w:sz="0" w:space="0" w:color="auto"/>
      </w:divBdr>
    </w:div>
    <w:div w:id="1063990242">
      <w:bodyDiv w:val="1"/>
      <w:marLeft w:val="0"/>
      <w:marRight w:val="0"/>
      <w:marTop w:val="0"/>
      <w:marBottom w:val="0"/>
      <w:divBdr>
        <w:top w:val="none" w:sz="0" w:space="0" w:color="auto"/>
        <w:left w:val="none" w:sz="0" w:space="0" w:color="auto"/>
        <w:bottom w:val="none" w:sz="0" w:space="0" w:color="auto"/>
        <w:right w:val="none" w:sz="0" w:space="0" w:color="auto"/>
      </w:divBdr>
    </w:div>
    <w:div w:id="1177575908">
      <w:bodyDiv w:val="1"/>
      <w:marLeft w:val="0"/>
      <w:marRight w:val="0"/>
      <w:marTop w:val="0"/>
      <w:marBottom w:val="0"/>
      <w:divBdr>
        <w:top w:val="none" w:sz="0" w:space="0" w:color="auto"/>
        <w:left w:val="none" w:sz="0" w:space="0" w:color="auto"/>
        <w:bottom w:val="none" w:sz="0" w:space="0" w:color="auto"/>
        <w:right w:val="none" w:sz="0" w:space="0" w:color="auto"/>
      </w:divBdr>
    </w:div>
    <w:div w:id="1258439553">
      <w:bodyDiv w:val="1"/>
      <w:marLeft w:val="0"/>
      <w:marRight w:val="0"/>
      <w:marTop w:val="0"/>
      <w:marBottom w:val="0"/>
      <w:divBdr>
        <w:top w:val="none" w:sz="0" w:space="0" w:color="auto"/>
        <w:left w:val="none" w:sz="0" w:space="0" w:color="auto"/>
        <w:bottom w:val="none" w:sz="0" w:space="0" w:color="auto"/>
        <w:right w:val="none" w:sz="0" w:space="0" w:color="auto"/>
      </w:divBdr>
    </w:div>
    <w:div w:id="1389260021">
      <w:bodyDiv w:val="1"/>
      <w:marLeft w:val="0"/>
      <w:marRight w:val="0"/>
      <w:marTop w:val="0"/>
      <w:marBottom w:val="0"/>
      <w:divBdr>
        <w:top w:val="none" w:sz="0" w:space="0" w:color="auto"/>
        <w:left w:val="none" w:sz="0" w:space="0" w:color="auto"/>
        <w:bottom w:val="none" w:sz="0" w:space="0" w:color="auto"/>
        <w:right w:val="none" w:sz="0" w:space="0" w:color="auto"/>
      </w:divBdr>
    </w:div>
    <w:div w:id="1505706005">
      <w:bodyDiv w:val="1"/>
      <w:marLeft w:val="0"/>
      <w:marRight w:val="0"/>
      <w:marTop w:val="0"/>
      <w:marBottom w:val="0"/>
      <w:divBdr>
        <w:top w:val="none" w:sz="0" w:space="0" w:color="auto"/>
        <w:left w:val="none" w:sz="0" w:space="0" w:color="auto"/>
        <w:bottom w:val="none" w:sz="0" w:space="0" w:color="auto"/>
        <w:right w:val="none" w:sz="0" w:space="0" w:color="auto"/>
      </w:divBdr>
    </w:div>
    <w:div w:id="1538855494">
      <w:bodyDiv w:val="1"/>
      <w:marLeft w:val="0"/>
      <w:marRight w:val="0"/>
      <w:marTop w:val="0"/>
      <w:marBottom w:val="0"/>
      <w:divBdr>
        <w:top w:val="none" w:sz="0" w:space="0" w:color="auto"/>
        <w:left w:val="none" w:sz="0" w:space="0" w:color="auto"/>
        <w:bottom w:val="none" w:sz="0" w:space="0" w:color="auto"/>
        <w:right w:val="none" w:sz="0" w:space="0" w:color="auto"/>
      </w:divBdr>
    </w:div>
    <w:div w:id="1837762934">
      <w:bodyDiv w:val="1"/>
      <w:marLeft w:val="0"/>
      <w:marRight w:val="0"/>
      <w:marTop w:val="0"/>
      <w:marBottom w:val="0"/>
      <w:divBdr>
        <w:top w:val="none" w:sz="0" w:space="0" w:color="auto"/>
        <w:left w:val="none" w:sz="0" w:space="0" w:color="auto"/>
        <w:bottom w:val="none" w:sz="0" w:space="0" w:color="auto"/>
        <w:right w:val="none" w:sz="0" w:space="0" w:color="auto"/>
      </w:divBdr>
    </w:div>
    <w:div w:id="1840383757">
      <w:bodyDiv w:val="1"/>
      <w:marLeft w:val="0"/>
      <w:marRight w:val="0"/>
      <w:marTop w:val="0"/>
      <w:marBottom w:val="0"/>
      <w:divBdr>
        <w:top w:val="none" w:sz="0" w:space="0" w:color="auto"/>
        <w:left w:val="none" w:sz="0" w:space="0" w:color="auto"/>
        <w:bottom w:val="none" w:sz="0" w:space="0" w:color="auto"/>
        <w:right w:val="none" w:sz="0" w:space="0" w:color="auto"/>
      </w:divBdr>
    </w:div>
    <w:div w:id="1852446637">
      <w:bodyDiv w:val="1"/>
      <w:marLeft w:val="0"/>
      <w:marRight w:val="0"/>
      <w:marTop w:val="0"/>
      <w:marBottom w:val="0"/>
      <w:divBdr>
        <w:top w:val="none" w:sz="0" w:space="0" w:color="auto"/>
        <w:left w:val="none" w:sz="0" w:space="0" w:color="auto"/>
        <w:bottom w:val="none" w:sz="0" w:space="0" w:color="auto"/>
        <w:right w:val="none" w:sz="0" w:space="0" w:color="auto"/>
      </w:divBdr>
    </w:div>
    <w:div w:id="1899852736">
      <w:bodyDiv w:val="1"/>
      <w:marLeft w:val="0"/>
      <w:marRight w:val="0"/>
      <w:marTop w:val="0"/>
      <w:marBottom w:val="0"/>
      <w:divBdr>
        <w:top w:val="none" w:sz="0" w:space="0" w:color="auto"/>
        <w:left w:val="none" w:sz="0" w:space="0" w:color="auto"/>
        <w:bottom w:val="none" w:sz="0" w:space="0" w:color="auto"/>
        <w:right w:val="none" w:sz="0" w:space="0" w:color="auto"/>
      </w:divBdr>
    </w:div>
    <w:div w:id="210549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600"/>
              <a:t>Number of Employees - Paid April 2025</a:t>
            </a:r>
          </a:p>
        </c:rich>
      </c:tx>
      <c:overlay val="0"/>
    </c:title>
    <c:autoTitleDeleted val="0"/>
    <c:plotArea>
      <c:layout/>
      <c:pieChart>
        <c:varyColors val="1"/>
        <c:ser>
          <c:idx val="0"/>
          <c:order val="0"/>
          <c:spPr>
            <a:solidFill>
              <a:schemeClr val="accent3">
                <a:lumMod val="60000"/>
                <a:lumOff val="40000"/>
              </a:schemeClr>
            </a:solidFill>
          </c:spPr>
          <c:dPt>
            <c:idx val="0"/>
            <c:bubble3D val="0"/>
            <c:spPr>
              <a:solidFill>
                <a:schemeClr val="accent4">
                  <a:lumMod val="60000"/>
                  <a:lumOff val="40000"/>
                </a:schemeClr>
              </a:solidFill>
            </c:spPr>
            <c:extLst>
              <c:ext xmlns:c16="http://schemas.microsoft.com/office/drawing/2014/chart" uri="{C3380CC4-5D6E-409C-BE32-E72D297353CC}">
                <c16:uniqueId val="{00000001-C1A5-49B1-9833-C0BEA6E6F5AB}"/>
              </c:ext>
            </c:extLst>
          </c:dPt>
          <c:dLbls>
            <c:dLbl>
              <c:idx val="0"/>
              <c:tx>
                <c:rich>
                  <a:bodyPr/>
                  <a:lstStyle/>
                  <a:p>
                    <a:r>
                      <a:rPr lang="en-US" baseline="0"/>
                      <a:t>205
64%</a:t>
                    </a:r>
                    <a:endParaRPr lang="en-US"/>
                  </a:p>
                </c:rich>
              </c:tx>
              <c:dLblPos val="bestFit"/>
              <c:showLegendKey val="1"/>
              <c:showVal val="1"/>
              <c:showCatName val="0"/>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1-C1A5-49B1-9833-C0BEA6E6F5AB}"/>
                </c:ext>
              </c:extLst>
            </c:dLbl>
            <c:dLbl>
              <c:idx val="1"/>
              <c:tx>
                <c:rich>
                  <a:bodyPr/>
                  <a:lstStyle/>
                  <a:p>
                    <a:r>
                      <a:rPr lang="en-US"/>
                      <a:t>116</a:t>
                    </a:r>
                    <a:r>
                      <a:rPr lang="en-US" baseline="0"/>
                      <a:t>
36%</a:t>
                    </a:r>
                    <a:endParaRPr lang="en-US"/>
                  </a:p>
                </c:rich>
              </c:tx>
              <c:dLblPos val="bestFit"/>
              <c:showLegendKey val="1"/>
              <c:showVal val="1"/>
              <c:showCatName val="0"/>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3-C1A5-49B1-9833-C0BEA6E6F5AB}"/>
                </c:ext>
              </c:extLst>
            </c:dLbl>
            <c:spPr>
              <a:noFill/>
              <a:ln>
                <a:noFill/>
              </a:ln>
              <a:effectLst/>
            </c:spPr>
            <c:txPr>
              <a:bodyPr/>
              <a:lstStyle/>
              <a:p>
                <a:pPr>
                  <a:defRPr b="1"/>
                </a:pPr>
                <a:endParaRPr lang="en-US"/>
              </a:p>
            </c:txPr>
            <c:dLblPos val="bestFit"/>
            <c:showLegendKey val="1"/>
            <c:showVal val="1"/>
            <c:showCatName val="0"/>
            <c:showSerName val="0"/>
            <c:showPercent val="1"/>
            <c:showBubbleSize val="0"/>
            <c:separator>
</c:separator>
            <c:showLeaderLines val="1"/>
            <c:extLst>
              <c:ext xmlns:c15="http://schemas.microsoft.com/office/drawing/2012/chart" uri="{CE6537A1-D6FC-4f65-9D91-7224C49458BB}"/>
            </c:extLst>
          </c:dLbls>
          <c:cat>
            <c:strRef>
              <c:f>'MARCH 19'!$B$5:$C$5</c:f>
              <c:strCache>
                <c:ptCount val="2"/>
                <c:pt idx="0">
                  <c:v>FEMALES</c:v>
                </c:pt>
                <c:pt idx="1">
                  <c:v>MALES</c:v>
                </c:pt>
              </c:strCache>
            </c:strRef>
          </c:cat>
          <c:val>
            <c:numRef>
              <c:f>'MARCH 19'!$B$6:$C$6</c:f>
              <c:numCache>
                <c:formatCode>General</c:formatCode>
                <c:ptCount val="2"/>
                <c:pt idx="0">
                  <c:v>235</c:v>
                </c:pt>
                <c:pt idx="1">
                  <c:v>127</c:v>
                </c:pt>
              </c:numCache>
            </c:numRef>
          </c:val>
          <c:extLst>
            <c:ext xmlns:c16="http://schemas.microsoft.com/office/drawing/2014/chart" uri="{C3380CC4-5D6E-409C-BE32-E72D297353CC}">
              <c16:uniqueId val="{00000002-C1A5-49B1-9833-C0BEA6E6F5AB}"/>
            </c:ext>
          </c:extLst>
        </c:ser>
        <c:dLbls>
          <c:showLegendKey val="0"/>
          <c:showVal val="0"/>
          <c:showCatName val="0"/>
          <c:showSerName val="0"/>
          <c:showPercent val="0"/>
          <c:showBubbleSize val="0"/>
          <c:showLeaderLines val="1"/>
        </c:dLbls>
        <c:firstSliceAng val="0"/>
      </c:pieChart>
    </c:plotArea>
    <c:legend>
      <c:legendPos val="b"/>
      <c:overlay val="0"/>
      <c:txPr>
        <a:bodyPr/>
        <a:lstStyle/>
        <a:p>
          <a:pPr>
            <a:defRPr b="1"/>
          </a:pPr>
          <a:endParaRPr lang="en-US"/>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cdr:x>
      <cdr:y>0.66782</cdr:y>
    </cdr:from>
    <cdr:to>
      <cdr:x>1</cdr:x>
      <cdr:y>1</cdr:y>
    </cdr:to>
    <cdr:sp macro="" textlink="">
      <cdr:nvSpPr>
        <cdr:cNvPr id="2" name="TextBox 1"/>
        <cdr:cNvSpPr txBox="1"/>
      </cdr:nvSpPr>
      <cdr:spPr>
        <a:xfrm xmlns:a="http://schemas.openxmlformats.org/drawingml/2006/main">
          <a:off x="3661410" y="224694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0.74673</cdr:x>
      <cdr:y>0.71934</cdr:y>
    </cdr:from>
    <cdr:to>
      <cdr:x>0.94417</cdr:x>
      <cdr:y>0.93005</cdr:y>
    </cdr:to>
    <cdr:sp macro="" textlink="">
      <cdr:nvSpPr>
        <cdr:cNvPr id="3" name="TextBox 2"/>
        <cdr:cNvSpPr txBox="1"/>
      </cdr:nvSpPr>
      <cdr:spPr>
        <a:xfrm xmlns:a="http://schemas.openxmlformats.org/drawingml/2006/main">
          <a:off x="3482340" y="2324100"/>
          <a:ext cx="920740" cy="68078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GB" sz="1100" b="1"/>
            <a:t>Total number</a:t>
          </a:r>
        </a:p>
        <a:p xmlns:a="http://schemas.openxmlformats.org/drawingml/2006/main">
          <a:pPr algn="ctr"/>
          <a:r>
            <a:rPr lang="en-GB" sz="1100" b="1"/>
            <a:t>of</a:t>
          </a:r>
          <a:r>
            <a:rPr lang="en-GB" sz="1100" b="1" baseline="0"/>
            <a:t> employees</a:t>
          </a:r>
        </a:p>
        <a:p xmlns:a="http://schemas.openxmlformats.org/drawingml/2006/main">
          <a:pPr algn="ctr"/>
          <a:r>
            <a:rPr lang="en-GB" sz="1100" b="1"/>
            <a:t>321</a:t>
          </a:r>
        </a:p>
        <a:p xmlns:a="http://schemas.openxmlformats.org/drawingml/2006/main">
          <a:pPr algn="ctr"/>
          <a:endParaRPr lang="en-GB" sz="1100" b="1"/>
        </a:p>
      </cdr:txBody>
    </cdr:sp>
  </cdr:relSizeAnchor>
  <cdr:relSizeAnchor xmlns:cdr="http://schemas.openxmlformats.org/drawingml/2006/chartDrawing">
    <cdr:from>
      <cdr:x>0.4225</cdr:x>
      <cdr:y>0.04338</cdr:y>
    </cdr:from>
    <cdr:to>
      <cdr:x>0.6225</cdr:x>
      <cdr:y>0.29273</cdr:y>
    </cdr:to>
    <cdr:sp macro="" textlink="">
      <cdr:nvSpPr>
        <cdr:cNvPr id="4" name="TextBox 3"/>
        <cdr:cNvSpPr txBox="1"/>
      </cdr:nvSpPr>
      <cdr:spPr>
        <a:xfrm xmlns:a="http://schemas.openxmlformats.org/drawingml/2006/main">
          <a:off x="1931670" y="15906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1798B-AEDE-4D9A-A62F-ED3D8A71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 Casey</dc:creator>
  <cp:lastModifiedBy>Janette Randerson</cp:lastModifiedBy>
  <cp:revision>4</cp:revision>
  <cp:lastPrinted>2024-03-12T17:05:00Z</cp:lastPrinted>
  <dcterms:created xsi:type="dcterms:W3CDTF">2026-03-27T10:13:00Z</dcterms:created>
  <dcterms:modified xsi:type="dcterms:W3CDTF">2026-03-27T10:40:00Z</dcterms:modified>
</cp:coreProperties>
</file>